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1C3F7">
      <w:pPr>
        <w:pStyle w:val="2"/>
        <w:keepNext w:val="0"/>
        <w:keepLines w:val="0"/>
        <w:widowControl/>
        <w:suppressLineNumbers w:val="0"/>
        <w:shd w:val="clear" w:fill="FFFFFF"/>
        <w:spacing w:before="480" w:beforeAutospacing="0" w:after="240" w:afterAutospacing="0" w:line="510" w:lineRule="atLeast"/>
        <w:ind w:left="0" w:right="0" w:firstLine="0"/>
        <w:jc w:val="center"/>
        <w:rPr>
          <w:rFonts w:hint="eastAsia" w:ascii="Segoe UI" w:hAnsi="Segoe UI" w:eastAsia="Segoe UI" w:cs="Segoe UI"/>
          <w:b/>
          <w:caps w:val="0"/>
          <w:color w:val="0F1115"/>
          <w:spacing w:val="0"/>
          <w:sz w:val="36"/>
          <w:szCs w:val="36"/>
          <w:lang w:val="en-US" w:eastAsia="zh-CN"/>
        </w:rPr>
      </w:pPr>
      <w:r>
        <w:rPr>
          <w:rFonts w:hint="eastAsia" w:ascii="Segoe UI" w:hAnsi="Segoe UI" w:eastAsia="Segoe UI" w:cs="Segoe UI"/>
          <w:b/>
          <w:caps w:val="0"/>
          <w:color w:val="0F1115"/>
          <w:spacing w:val="0"/>
          <w:sz w:val="36"/>
          <w:szCs w:val="36"/>
          <w:shd w:val="clear" w:fill="FFFFFF"/>
          <w:lang w:val="en-US" w:eastAsia="zh-CN"/>
        </w:rPr>
        <w:t>昆明十中教育集团三校</w:t>
      </w:r>
      <w:r>
        <w:rPr>
          <w:rFonts w:hint="default" w:ascii="Segoe UI" w:hAnsi="Segoe UI" w:eastAsia="Segoe UI" w:cs="Segoe UI"/>
          <w:b/>
          <w:caps w:val="0"/>
          <w:color w:val="0F1115"/>
          <w:spacing w:val="0"/>
          <w:sz w:val="36"/>
          <w:szCs w:val="36"/>
          <w:shd w:val="clear" w:fill="FFFFFF"/>
        </w:rPr>
        <w:t>保险经纪服务</w:t>
      </w:r>
      <w:r>
        <w:rPr>
          <w:rFonts w:hint="eastAsia" w:ascii="Segoe UI" w:hAnsi="Segoe UI" w:eastAsia="Segoe UI" w:cs="Segoe UI"/>
          <w:b/>
          <w:caps w:val="0"/>
          <w:color w:val="0F1115"/>
          <w:spacing w:val="0"/>
          <w:sz w:val="36"/>
          <w:szCs w:val="36"/>
          <w:shd w:val="clear" w:fill="FFFFFF"/>
          <w:lang w:val="en-US" w:eastAsia="zh-CN"/>
        </w:rPr>
        <w:t>三校联合</w:t>
      </w:r>
      <w:r>
        <w:rPr>
          <w:rFonts w:hint="default" w:ascii="Segoe UI" w:hAnsi="Segoe UI" w:eastAsia="Segoe UI" w:cs="Segoe UI"/>
          <w:b/>
          <w:caps w:val="0"/>
          <w:color w:val="0F1115"/>
          <w:spacing w:val="0"/>
          <w:sz w:val="36"/>
          <w:szCs w:val="36"/>
          <w:shd w:val="clear" w:fill="FFFFFF"/>
        </w:rPr>
        <w:t>采购参数</w:t>
      </w:r>
    </w:p>
    <w:p w14:paraId="79A428E3">
      <w:pPr>
        <w:keepNext w:val="0"/>
        <w:keepLines w:val="0"/>
        <w:widowControl/>
        <w:suppressLineNumbers w:val="0"/>
        <w:spacing w:line="375" w:lineRule="atLeast"/>
        <w:ind w:firstLine="440" w:firstLineChars="200"/>
        <w:jc w:val="left"/>
        <w:rPr>
          <w:rFonts w:hint="default" w:ascii="Segoe UI" w:hAnsi="Segoe UI" w:eastAsia="Segoe UI" w:cs="Segoe UI"/>
          <w:kern w:val="0"/>
          <w:sz w:val="22"/>
          <w:szCs w:val="22"/>
          <w:lang w:val="en-US" w:eastAsia="zh-CN" w:bidi="ar"/>
        </w:rPr>
      </w:pPr>
      <w:r>
        <w:rPr>
          <w:rFonts w:hint="eastAsia" w:ascii="Segoe UI" w:hAnsi="Segoe UI" w:eastAsia="Segoe UI" w:cs="Segoe UI"/>
          <w:kern w:val="0"/>
          <w:sz w:val="22"/>
          <w:szCs w:val="22"/>
          <w:lang w:val="en-US" w:eastAsia="zh-CN" w:bidi="ar"/>
        </w:rPr>
        <w:t>云南省昆明市第十中学、昆明市盘龙区白塔高级中学、昆明市盘龙区白塔初级中学拟联合选择一家保险经纪公司作为保险经纪服务机构，为学校的师生提供风险管理和保险经纪服务，办理校园保险相关事宜：代表学校监督指导保险方案的实施，协助学校办理投保手续，代表学校进行索赔，为学校提供防灾防损和风险评估、风险管理咨询、对校进行风险管理咨询和培训、提供法律援助等保险经纪服务。</w:t>
      </w:r>
    </w:p>
    <w:p w14:paraId="78FE8B60">
      <w:pPr>
        <w:pStyle w:val="3"/>
        <w:keepNext w:val="0"/>
        <w:keepLines w:val="0"/>
        <w:widowControl/>
        <w:suppressLineNumbers w:val="0"/>
        <w:shd w:val="clear" w:fill="FFFFFF"/>
        <w:spacing w:before="480" w:beforeAutospacing="0" w:after="240" w:afterAutospacing="0" w:line="480" w:lineRule="atLeast"/>
        <w:ind w:left="0" w:right="0" w:firstLine="0"/>
        <w:rPr>
          <w:rFonts w:hint="default" w:ascii="Segoe UI" w:hAnsi="Segoe UI" w:eastAsia="Segoe UI" w:cs="Segoe UI"/>
          <w:b/>
          <w:caps w:val="0"/>
          <w:color w:val="0F1115"/>
          <w:spacing w:val="0"/>
          <w:sz w:val="33"/>
          <w:szCs w:val="33"/>
          <w:vertAlign w:val="baseline"/>
        </w:rPr>
      </w:pPr>
      <w:r>
        <w:rPr>
          <w:rFonts w:hint="default" w:ascii="Segoe UI" w:hAnsi="Segoe UI" w:eastAsia="Segoe UI" w:cs="Segoe UI"/>
          <w:b/>
          <w:caps w:val="0"/>
          <w:color w:val="0F1115"/>
          <w:spacing w:val="0"/>
          <w:sz w:val="33"/>
          <w:szCs w:val="33"/>
          <w:shd w:val="clear" w:fill="FFFFFF"/>
        </w:rPr>
        <w:t>一、采购项目基本信息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11905"/>
      </w:tblGrid>
      <w:tr w14:paraId="7B06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14:paraId="01E1B22C">
            <w:pPr>
              <w:keepNext w:val="0"/>
              <w:keepLines w:val="0"/>
              <w:widowControl/>
              <w:suppressLineNumbers w:val="0"/>
              <w:spacing w:line="375" w:lineRule="atLeast"/>
              <w:jc w:val="center"/>
              <w:rPr>
                <w:rFonts w:hint="default" w:ascii="Segoe UI" w:hAnsi="Segoe UI" w:eastAsia="Segoe UI" w:cs="Segoe UI"/>
                <w:b/>
                <w:caps w:val="0"/>
                <w:color w:val="0F1115"/>
                <w:spacing w:val="0"/>
                <w:sz w:val="33"/>
                <w:szCs w:val="33"/>
                <w:vertAlign w:val="baseline"/>
              </w:rPr>
            </w:pPr>
            <w:r>
              <w:rPr>
                <w:rFonts w:hint="default" w:ascii="Segoe UI" w:hAnsi="Segoe UI" w:eastAsia="Segoe UI" w:cs="Segoe UI"/>
                <w:kern w:val="0"/>
                <w:sz w:val="22"/>
                <w:szCs w:val="22"/>
                <w:lang w:val="en-US" w:eastAsia="zh-CN" w:bidi="ar"/>
              </w:rPr>
              <w:t>项目名称</w:t>
            </w:r>
          </w:p>
        </w:tc>
        <w:tc>
          <w:tcPr>
            <w:tcW w:w="11905" w:type="dxa"/>
            <w:vAlign w:val="center"/>
          </w:tcPr>
          <w:p w14:paraId="22C3B8CC">
            <w:pPr>
              <w:keepNext w:val="0"/>
              <w:keepLines w:val="0"/>
              <w:widowControl/>
              <w:suppressLineNumbers w:val="0"/>
              <w:spacing w:line="375" w:lineRule="atLeast"/>
              <w:jc w:val="left"/>
              <w:rPr>
                <w:rFonts w:hint="default" w:ascii="Segoe UI" w:hAnsi="Segoe UI" w:eastAsia="Segoe UI" w:cs="Segoe UI"/>
                <w:b/>
                <w:caps w:val="0"/>
                <w:color w:val="0F1115"/>
                <w:spacing w:val="0"/>
                <w:sz w:val="33"/>
                <w:szCs w:val="33"/>
                <w:vertAlign w:val="baseline"/>
              </w:rPr>
            </w:pPr>
            <w:r>
              <w:rPr>
                <w:rFonts w:hint="default" w:ascii="Segoe UI" w:hAnsi="Segoe UI" w:eastAsia="Segoe UI" w:cs="Segoe UI"/>
                <w:kern w:val="0"/>
                <w:sz w:val="22"/>
                <w:szCs w:val="22"/>
                <w:lang w:val="en-US" w:eastAsia="zh-CN" w:bidi="ar"/>
              </w:rPr>
              <w:t>2025-2026学年昆明十中教育集团校方责任险及相关保险经纪服务采购项目</w:t>
            </w:r>
          </w:p>
        </w:tc>
      </w:tr>
      <w:tr w14:paraId="185B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14:paraId="7E9A6DBF">
            <w:pPr>
              <w:keepNext w:val="0"/>
              <w:keepLines w:val="0"/>
              <w:widowControl/>
              <w:suppressLineNumbers w:val="0"/>
              <w:spacing w:line="375" w:lineRule="atLeast"/>
              <w:jc w:val="center"/>
              <w:rPr>
                <w:rFonts w:hint="default" w:ascii="Segoe UI" w:hAnsi="Segoe UI" w:eastAsia="Segoe UI" w:cs="Segoe UI"/>
                <w:b/>
                <w:caps w:val="0"/>
                <w:color w:val="0F1115"/>
                <w:spacing w:val="0"/>
                <w:sz w:val="33"/>
                <w:szCs w:val="33"/>
                <w:vertAlign w:val="baseline"/>
              </w:rPr>
            </w:pPr>
            <w:r>
              <w:rPr>
                <w:rFonts w:hint="default" w:ascii="Segoe UI" w:hAnsi="Segoe UI" w:eastAsia="Segoe UI" w:cs="Segoe UI"/>
                <w:kern w:val="0"/>
                <w:sz w:val="22"/>
                <w:szCs w:val="22"/>
                <w:lang w:val="en-US" w:eastAsia="zh-CN" w:bidi="ar"/>
              </w:rPr>
              <w:t>采购单位</w:t>
            </w:r>
          </w:p>
        </w:tc>
        <w:tc>
          <w:tcPr>
            <w:tcW w:w="11905" w:type="dxa"/>
            <w:vAlign w:val="center"/>
          </w:tcPr>
          <w:p w14:paraId="1AEEBCF6">
            <w:pPr>
              <w:keepNext w:val="0"/>
              <w:keepLines w:val="0"/>
              <w:widowControl/>
              <w:suppressLineNumbers w:val="0"/>
              <w:spacing w:line="375" w:lineRule="atLeast"/>
              <w:jc w:val="left"/>
              <w:rPr>
                <w:rFonts w:hint="default" w:ascii="Segoe UI" w:hAnsi="Segoe UI" w:eastAsia="Segoe UI" w:cs="Segoe UI"/>
                <w:b/>
                <w:caps w:val="0"/>
                <w:color w:val="0F1115"/>
                <w:spacing w:val="0"/>
                <w:sz w:val="33"/>
                <w:szCs w:val="33"/>
                <w:vertAlign w:val="baseline"/>
              </w:rPr>
            </w:pPr>
            <w:r>
              <w:rPr>
                <w:rFonts w:hint="default" w:ascii="Segoe UI" w:hAnsi="Segoe UI" w:eastAsia="Segoe UI" w:cs="Segoe UI"/>
                <w:kern w:val="0"/>
                <w:sz w:val="22"/>
                <w:szCs w:val="22"/>
                <w:lang w:val="en-US" w:eastAsia="zh-CN" w:bidi="ar"/>
              </w:rPr>
              <w:t>云南省昆明市第十中学、昆明市盘龙区白塔初级中学、昆明市盘龙区白塔高级中学</w:t>
            </w:r>
          </w:p>
        </w:tc>
      </w:tr>
      <w:tr w14:paraId="5A0B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14:paraId="3BF8188F">
            <w:pPr>
              <w:keepNext w:val="0"/>
              <w:keepLines w:val="0"/>
              <w:widowControl/>
              <w:suppressLineNumbers w:val="0"/>
              <w:spacing w:line="375" w:lineRule="atLeast"/>
              <w:jc w:val="center"/>
              <w:rPr>
                <w:rFonts w:hint="default" w:ascii="Segoe UI" w:hAnsi="Segoe UI" w:eastAsia="Segoe UI" w:cs="Segoe UI"/>
                <w:b/>
                <w:caps w:val="0"/>
                <w:color w:val="0F1115"/>
                <w:spacing w:val="0"/>
                <w:sz w:val="33"/>
                <w:szCs w:val="33"/>
                <w:vertAlign w:val="baseline"/>
              </w:rPr>
            </w:pPr>
            <w:r>
              <w:rPr>
                <w:rFonts w:hint="default" w:ascii="Segoe UI" w:hAnsi="Segoe UI" w:eastAsia="Segoe UI" w:cs="Segoe UI"/>
                <w:kern w:val="0"/>
                <w:sz w:val="22"/>
                <w:szCs w:val="22"/>
                <w:lang w:val="en-US" w:eastAsia="zh-CN" w:bidi="ar"/>
              </w:rPr>
              <w:t>采购方式</w:t>
            </w:r>
          </w:p>
        </w:tc>
        <w:tc>
          <w:tcPr>
            <w:tcW w:w="11905" w:type="dxa"/>
            <w:vAlign w:val="center"/>
          </w:tcPr>
          <w:p w14:paraId="464F2AA8">
            <w:pPr>
              <w:keepNext w:val="0"/>
              <w:keepLines w:val="0"/>
              <w:widowControl/>
              <w:suppressLineNumbers w:val="0"/>
              <w:spacing w:line="375" w:lineRule="atLeast"/>
              <w:jc w:val="left"/>
              <w:rPr>
                <w:rFonts w:hint="default" w:ascii="Segoe UI" w:hAnsi="Segoe UI" w:eastAsia="Segoe UI" w:cs="Segoe UI"/>
                <w:b/>
                <w:caps w:val="0"/>
                <w:color w:val="0F1115"/>
                <w:spacing w:val="0"/>
                <w:sz w:val="33"/>
                <w:szCs w:val="33"/>
                <w:vertAlign w:val="baseline"/>
              </w:rPr>
            </w:pPr>
            <w:r>
              <w:rPr>
                <w:rFonts w:hint="eastAsia" w:ascii="Segoe UI" w:hAnsi="Segoe UI" w:eastAsia="Segoe UI" w:cs="Segoe UI"/>
                <w:sz w:val="22"/>
                <w:szCs w:val="22"/>
                <w:lang w:val="en-US" w:eastAsia="zh-CN"/>
              </w:rPr>
              <w:t>委托招标代理机构采购</w:t>
            </w:r>
          </w:p>
        </w:tc>
      </w:tr>
      <w:tr w14:paraId="6DFF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14:paraId="011A8E97">
            <w:pPr>
              <w:keepNext w:val="0"/>
              <w:keepLines w:val="0"/>
              <w:widowControl/>
              <w:suppressLineNumbers w:val="0"/>
              <w:spacing w:line="375" w:lineRule="atLeast"/>
              <w:jc w:val="left"/>
              <w:rPr>
                <w:rFonts w:hint="default" w:ascii="Segoe UI" w:hAnsi="Segoe UI" w:eastAsia="Segoe UI" w:cs="Segoe UI"/>
                <w:sz w:val="22"/>
                <w:szCs w:val="22"/>
                <w:lang w:val="en-US" w:eastAsia="zh-CN"/>
              </w:rPr>
            </w:pPr>
            <w:r>
              <w:rPr>
                <w:rFonts w:hint="eastAsia" w:ascii="Segoe UI" w:hAnsi="Segoe UI" w:eastAsia="Segoe UI" w:cs="Segoe UI"/>
                <w:sz w:val="22"/>
                <w:szCs w:val="22"/>
                <w:lang w:val="en-US" w:eastAsia="zh-CN"/>
              </w:rPr>
              <w:t>服务内容</w:t>
            </w:r>
          </w:p>
        </w:tc>
        <w:tc>
          <w:tcPr>
            <w:tcW w:w="11905" w:type="dxa"/>
            <w:vAlign w:val="center"/>
          </w:tcPr>
          <w:p w14:paraId="4034C8B7">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1、</w:t>
            </w:r>
            <w:r>
              <w:rPr>
                <w:rFonts w:hint="default" w:ascii="Segoe UI" w:hAnsi="Segoe UI" w:eastAsia="Segoe UI" w:cs="Segoe UI"/>
                <w:sz w:val="22"/>
                <w:szCs w:val="22"/>
                <w:lang w:val="en-US" w:eastAsia="zh-CN"/>
              </w:rPr>
              <w:t>风险评估</w:t>
            </w:r>
            <w:r>
              <w:rPr>
                <w:rFonts w:hint="eastAsia" w:ascii="Segoe UI" w:hAnsi="Segoe UI" w:eastAsia="Segoe UI" w:cs="Segoe UI"/>
                <w:sz w:val="22"/>
                <w:szCs w:val="22"/>
                <w:lang w:val="en-US" w:eastAsia="zh-CN"/>
              </w:rPr>
              <w:t>及应急处理方案</w:t>
            </w:r>
            <w:r>
              <w:rPr>
                <w:rFonts w:hint="default" w:ascii="Segoe UI" w:hAnsi="Segoe UI" w:eastAsia="Segoe UI" w:cs="Segoe UI"/>
                <w:sz w:val="22"/>
                <w:szCs w:val="22"/>
                <w:lang w:val="en-US" w:eastAsia="zh-CN"/>
              </w:rPr>
              <w:t>：对三</w:t>
            </w:r>
            <w:r>
              <w:rPr>
                <w:rFonts w:hint="eastAsia" w:ascii="Segoe UI" w:hAnsi="Segoe UI" w:eastAsia="Segoe UI" w:cs="Segoe UI"/>
                <w:sz w:val="22"/>
                <w:szCs w:val="22"/>
                <w:lang w:val="en-US" w:eastAsia="zh-CN"/>
              </w:rPr>
              <w:t>家学</w:t>
            </w:r>
            <w:r>
              <w:rPr>
                <w:rFonts w:hint="default" w:ascii="Segoe UI" w:hAnsi="Segoe UI" w:eastAsia="Segoe UI" w:cs="Segoe UI"/>
                <w:sz w:val="22"/>
                <w:szCs w:val="22"/>
                <w:lang w:val="en-US" w:eastAsia="zh-CN"/>
              </w:rPr>
              <w:t>校</w:t>
            </w:r>
            <w:r>
              <w:rPr>
                <w:rFonts w:hint="eastAsia" w:ascii="Segoe UI" w:hAnsi="Segoe UI" w:eastAsia="Segoe UI" w:cs="Segoe UI"/>
                <w:sz w:val="22"/>
                <w:szCs w:val="22"/>
                <w:lang w:val="en-US" w:eastAsia="zh-CN"/>
              </w:rPr>
              <w:t>的</w:t>
            </w:r>
            <w:r>
              <w:rPr>
                <w:rFonts w:hint="default" w:ascii="Segoe UI" w:hAnsi="Segoe UI" w:eastAsia="Segoe UI" w:cs="Segoe UI"/>
                <w:sz w:val="22"/>
                <w:szCs w:val="22"/>
                <w:lang w:val="en-US" w:eastAsia="zh-CN"/>
              </w:rPr>
              <w:t>校园风险进行实地调研与分析，出具详细风险评估报告</w:t>
            </w:r>
            <w:r>
              <w:rPr>
                <w:rFonts w:hint="eastAsia" w:ascii="Segoe UI" w:hAnsi="Segoe UI" w:eastAsia="Segoe UI" w:cs="Segoe UI"/>
                <w:sz w:val="22"/>
                <w:szCs w:val="22"/>
                <w:lang w:val="en-US" w:eastAsia="zh-CN"/>
              </w:rPr>
              <w:t>（</w:t>
            </w:r>
            <w:r>
              <w:rPr>
                <w:rFonts w:hint="default" w:ascii="Segoe UI" w:hAnsi="Segoe UI" w:eastAsia="Segoe UI" w:cs="Segoe UI"/>
                <w:sz w:val="22"/>
                <w:szCs w:val="22"/>
                <w:lang w:val="en-US" w:eastAsia="zh-CN"/>
              </w:rPr>
              <w:t>需包含风险识别、风险分析、风险评价及防控建议四部分</w:t>
            </w:r>
            <w:r>
              <w:rPr>
                <w:rFonts w:hint="eastAsia" w:ascii="Segoe UI" w:hAnsi="Segoe UI" w:eastAsia="Segoe UI" w:cs="Segoe UI"/>
                <w:sz w:val="22"/>
                <w:szCs w:val="22"/>
                <w:lang w:val="en-US" w:eastAsia="zh-CN"/>
              </w:rPr>
              <w:t>）、</w:t>
            </w:r>
            <w:r>
              <w:rPr>
                <w:rFonts w:hint="default" w:ascii="Segoe UI" w:hAnsi="Segoe UI" w:eastAsia="Segoe UI" w:cs="Segoe UI"/>
                <w:sz w:val="22"/>
                <w:szCs w:val="22"/>
                <w:lang w:val="en-US" w:eastAsia="zh-CN"/>
              </w:rPr>
              <w:t>制定校园突发事件保险应急处理流程。</w:t>
            </w:r>
          </w:p>
          <w:p w14:paraId="176E305B">
            <w:pPr>
              <w:keepNext w:val="0"/>
              <w:keepLines w:val="0"/>
              <w:widowControl/>
              <w:suppressLineNumbers w:val="0"/>
              <w:spacing w:line="375" w:lineRule="atLeast"/>
              <w:jc w:val="left"/>
              <w:rPr>
                <w:rFonts w:hint="default" w:ascii="Segoe UI" w:hAnsi="Segoe UI" w:eastAsia="Segoe UI" w:cs="Segoe UI"/>
                <w:sz w:val="22"/>
                <w:szCs w:val="22"/>
                <w:lang w:val="en-US" w:eastAsia="zh-CN"/>
              </w:rPr>
            </w:pPr>
            <w:r>
              <w:rPr>
                <w:rFonts w:hint="eastAsia" w:ascii="Segoe UI" w:hAnsi="Segoe UI" w:eastAsia="Segoe UI" w:cs="Segoe UI"/>
                <w:sz w:val="22"/>
                <w:szCs w:val="22"/>
                <w:lang w:val="en-US" w:eastAsia="zh-CN"/>
              </w:rPr>
              <w:t>2、</w:t>
            </w:r>
            <w:r>
              <w:rPr>
                <w:rFonts w:hint="default" w:ascii="Segoe UI" w:hAnsi="Segoe UI" w:eastAsia="Segoe UI" w:cs="Segoe UI"/>
                <w:sz w:val="22"/>
                <w:szCs w:val="22"/>
                <w:lang w:val="en-US" w:eastAsia="zh-CN"/>
              </w:rPr>
              <w:t>保险方案设计：根据风险评估结果，设计最优保险组合方案</w:t>
            </w:r>
            <w:r>
              <w:rPr>
                <w:rFonts w:hint="eastAsia" w:ascii="Segoe UI" w:hAnsi="Segoe UI" w:eastAsia="Segoe UI" w:cs="Segoe UI"/>
                <w:sz w:val="22"/>
                <w:szCs w:val="22"/>
                <w:lang w:val="en-US" w:eastAsia="zh-CN"/>
              </w:rPr>
              <w:t>，并进行投保。为保证学校在开学顺利完成投保，为保障学校学生100%统保率，提供90天的投保及漏补宽限期。</w:t>
            </w:r>
          </w:p>
          <w:p w14:paraId="6A63F87B">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3、理赔服务：事故发生后，保险经纪服务机构应及时判定是否属于保险责任范围，若属于则根据具体情况提出处理预案、并指导学校处理相关事宜，参与保险谈判，</w:t>
            </w:r>
            <w:r>
              <w:rPr>
                <w:rFonts w:hint="default" w:ascii="Segoe UI" w:hAnsi="Segoe UI" w:eastAsia="Segoe UI" w:cs="Segoe UI"/>
                <w:sz w:val="22"/>
                <w:szCs w:val="22"/>
                <w:lang w:val="en-US" w:eastAsia="zh-CN"/>
              </w:rPr>
              <w:t>协助办理投保手续，确保保单及时生效。</w:t>
            </w:r>
            <w:r>
              <w:rPr>
                <w:rFonts w:hint="eastAsia" w:ascii="Segoe UI" w:hAnsi="Segoe UI" w:eastAsia="Segoe UI" w:cs="Segoe UI"/>
                <w:sz w:val="22"/>
                <w:szCs w:val="22"/>
                <w:lang w:val="en-US" w:eastAsia="zh-CN"/>
              </w:rPr>
              <w:t>若不属于保险责任范畴，则作出详细解释，并给学校提出相关处理建议。具体要求包括：（1）</w:t>
            </w:r>
            <w:r>
              <w:rPr>
                <w:rFonts w:hint="default" w:ascii="Segoe UI" w:hAnsi="Segoe UI" w:eastAsia="Segoe UI" w:cs="Segoe UI"/>
                <w:sz w:val="22"/>
                <w:szCs w:val="22"/>
                <w:lang w:val="en-US" w:eastAsia="zh-CN"/>
              </w:rPr>
              <w:t>投标人必须为本项目设立不少于3人的专属服务团队，并提供人员名单、简历及联系电话，未经采购人同意不得更换</w:t>
            </w:r>
            <w:r>
              <w:rPr>
                <w:rFonts w:hint="eastAsia" w:ascii="Segoe UI" w:hAnsi="Segoe UI" w:eastAsia="Segoe UI" w:cs="Segoe UI"/>
                <w:sz w:val="22"/>
                <w:szCs w:val="22"/>
                <w:lang w:val="en-US" w:eastAsia="zh-CN"/>
              </w:rPr>
              <w:t>。（2）</w:t>
            </w:r>
            <w:r>
              <w:rPr>
                <w:rFonts w:hint="default" w:ascii="Segoe UI" w:hAnsi="Segoe UI" w:eastAsia="Segoe UI" w:cs="Segoe UI"/>
                <w:sz w:val="22"/>
                <w:szCs w:val="22"/>
                <w:lang w:val="en-US" w:eastAsia="zh-CN"/>
              </w:rPr>
              <w:t>提供7×24小时理赔服务热线。接到报案电话后，</w:t>
            </w:r>
            <w:r>
              <w:rPr>
                <w:rFonts w:hint="eastAsia" w:ascii="Segoe UI" w:hAnsi="Segoe UI" w:eastAsia="Segoe UI" w:cs="Segoe UI"/>
                <w:sz w:val="22"/>
                <w:szCs w:val="22"/>
                <w:lang w:val="en-US" w:eastAsia="zh-CN"/>
              </w:rPr>
              <w:t>60</w:t>
            </w:r>
            <w:r>
              <w:rPr>
                <w:rFonts w:hint="default" w:ascii="Segoe UI" w:hAnsi="Segoe UI" w:eastAsia="Segoe UI" w:cs="Segoe UI"/>
                <w:sz w:val="22"/>
                <w:szCs w:val="22"/>
                <w:lang w:val="en-US" w:eastAsia="zh-CN"/>
              </w:rPr>
              <w:t>分钟内响应，</w:t>
            </w:r>
            <w:r>
              <w:rPr>
                <w:rFonts w:hint="eastAsia" w:ascii="Segoe UI" w:hAnsi="Segoe UI" w:eastAsia="Segoe UI" w:cs="Segoe UI"/>
                <w:sz w:val="22"/>
                <w:szCs w:val="22"/>
                <w:lang w:val="en-US" w:eastAsia="zh-CN"/>
              </w:rPr>
              <w:t>12</w:t>
            </w:r>
            <w:r>
              <w:rPr>
                <w:rFonts w:hint="default" w:ascii="Segoe UI" w:hAnsi="Segoe UI" w:eastAsia="Segoe UI" w:cs="Segoe UI"/>
                <w:sz w:val="22"/>
                <w:szCs w:val="22"/>
                <w:lang w:val="en-US" w:eastAsia="zh-CN"/>
              </w:rPr>
              <w:t>小时内给予初步处理意见指导</w:t>
            </w:r>
            <w:r>
              <w:rPr>
                <w:rFonts w:hint="eastAsia" w:ascii="Segoe UI" w:hAnsi="Segoe UI" w:eastAsia="Segoe UI" w:cs="Segoe UI"/>
                <w:sz w:val="22"/>
                <w:szCs w:val="22"/>
                <w:lang w:val="en-US" w:eastAsia="zh-CN"/>
              </w:rPr>
              <w:t>。应提供上门收件服务，城区内3小时到达现场。（3）理赔时限：</w:t>
            </w:r>
            <w:r>
              <w:rPr>
                <w:rFonts w:hint="default" w:ascii="Segoe UI" w:hAnsi="Segoe UI" w:eastAsia="Segoe UI" w:cs="Segoe UI"/>
                <w:sz w:val="22"/>
                <w:szCs w:val="22"/>
                <w:lang w:val="en-US" w:eastAsia="zh-CN"/>
              </w:rPr>
              <w:t>对于责任明确、单笔损失在</w:t>
            </w:r>
            <w:r>
              <w:rPr>
                <w:rFonts w:hint="eastAsia" w:ascii="Segoe UI" w:hAnsi="Segoe UI" w:eastAsia="Segoe UI" w:cs="Segoe UI"/>
                <w:sz w:val="22"/>
                <w:szCs w:val="22"/>
                <w:lang w:val="en-US" w:eastAsia="zh-CN"/>
              </w:rPr>
              <w:t>1万</w:t>
            </w:r>
            <w:r>
              <w:rPr>
                <w:rFonts w:hint="default" w:ascii="Segoe UI" w:hAnsi="Segoe UI" w:eastAsia="Segoe UI" w:cs="Segoe UI"/>
                <w:sz w:val="22"/>
                <w:szCs w:val="22"/>
                <w:lang w:val="en-US" w:eastAsia="zh-CN"/>
              </w:rPr>
              <w:t>元以下的案件承诺在材料齐全后</w:t>
            </w:r>
            <w:r>
              <w:rPr>
                <w:rFonts w:hint="eastAsia" w:ascii="Segoe UI" w:hAnsi="Segoe UI" w:eastAsia="Segoe UI" w:cs="Segoe UI"/>
                <w:sz w:val="22"/>
                <w:szCs w:val="22"/>
                <w:lang w:val="en-US" w:eastAsia="zh-CN"/>
              </w:rPr>
              <w:t>5</w:t>
            </w:r>
            <w:r>
              <w:rPr>
                <w:rFonts w:hint="default" w:ascii="Segoe UI" w:hAnsi="Segoe UI" w:eastAsia="Segoe UI" w:cs="Segoe UI"/>
                <w:sz w:val="22"/>
                <w:szCs w:val="22"/>
                <w:lang w:val="en-US" w:eastAsia="zh-CN"/>
              </w:rPr>
              <w:t>个工作日内完成赔付</w:t>
            </w:r>
            <w:r>
              <w:rPr>
                <w:rFonts w:hint="eastAsia" w:ascii="Segoe UI" w:hAnsi="Segoe UI" w:eastAsia="Segoe UI" w:cs="Segoe UI"/>
                <w:sz w:val="22"/>
                <w:szCs w:val="22"/>
                <w:lang w:val="en-US" w:eastAsia="zh-CN"/>
              </w:rPr>
              <w:t>，</w:t>
            </w:r>
            <w:r>
              <w:rPr>
                <w:rFonts w:hint="default" w:ascii="Segoe UI" w:hAnsi="Segoe UI" w:eastAsia="Segoe UI" w:cs="Segoe UI"/>
                <w:sz w:val="22"/>
                <w:szCs w:val="22"/>
                <w:lang w:val="en-US" w:eastAsia="zh-CN"/>
              </w:rPr>
              <w:t>对于其他案件，承诺在材料齐全后</w:t>
            </w:r>
            <w:r>
              <w:rPr>
                <w:rFonts w:hint="eastAsia" w:ascii="Segoe UI" w:hAnsi="Segoe UI" w:eastAsia="Segoe UI" w:cs="Segoe UI"/>
                <w:sz w:val="22"/>
                <w:szCs w:val="22"/>
                <w:lang w:val="en-US" w:eastAsia="zh-CN"/>
              </w:rPr>
              <w:t>20</w:t>
            </w:r>
            <w:r>
              <w:rPr>
                <w:rFonts w:hint="default" w:ascii="Segoe UI" w:hAnsi="Segoe UI" w:eastAsia="Segoe UI" w:cs="Segoe UI"/>
                <w:sz w:val="22"/>
                <w:szCs w:val="22"/>
                <w:lang w:val="en-US" w:eastAsia="zh-CN"/>
              </w:rPr>
              <w:t>个工作日内完成赔付</w:t>
            </w:r>
            <w:r>
              <w:rPr>
                <w:rFonts w:hint="eastAsia" w:ascii="Segoe UI" w:hAnsi="Segoe UI" w:eastAsia="Segoe UI" w:cs="Segoe UI"/>
                <w:sz w:val="22"/>
                <w:szCs w:val="22"/>
                <w:lang w:val="en-US" w:eastAsia="zh-CN"/>
              </w:rPr>
              <w:t>。（4）</w:t>
            </w:r>
            <w:r>
              <w:rPr>
                <w:rFonts w:hint="default" w:ascii="Segoe UI" w:hAnsi="Segoe UI" w:eastAsia="Segoe UI" w:cs="Segoe UI"/>
                <w:sz w:val="22"/>
                <w:szCs w:val="22"/>
                <w:lang w:val="en-US" w:eastAsia="zh-CN"/>
              </w:rPr>
              <w:t>提供全程理赔指导，包括材料准备、报案、跟进、协调等。</w:t>
            </w:r>
            <w:r>
              <w:rPr>
                <w:rFonts w:hint="eastAsia" w:ascii="Segoe UI" w:hAnsi="Segoe UI" w:eastAsia="Segoe UI" w:cs="Segoe UI"/>
                <w:sz w:val="22"/>
                <w:szCs w:val="22"/>
                <w:lang w:val="en-US" w:eastAsia="zh-CN"/>
              </w:rPr>
              <w:t>（5）其中特别对日常的小型理赔事件，需作出及时响应并积极协助学校及相关人员申请理赔，不得拒付、拖延办理、损害学校及相关受益人的利益。</w:t>
            </w:r>
          </w:p>
          <w:p w14:paraId="4D834EC0">
            <w:pPr>
              <w:keepNext w:val="0"/>
              <w:keepLines w:val="0"/>
              <w:widowControl/>
              <w:suppressLineNumbers w:val="0"/>
              <w:spacing w:line="375" w:lineRule="atLeast"/>
              <w:jc w:val="left"/>
              <w:rPr>
                <w:rFonts w:hint="default" w:ascii="Segoe UI" w:hAnsi="Segoe UI" w:eastAsia="Segoe UI" w:cs="Segoe UI"/>
                <w:sz w:val="22"/>
                <w:szCs w:val="22"/>
                <w:lang w:val="en-US" w:eastAsia="zh-CN"/>
              </w:rPr>
            </w:pPr>
            <w:r>
              <w:rPr>
                <w:rFonts w:hint="eastAsia" w:ascii="Segoe UI" w:hAnsi="Segoe UI" w:eastAsia="Segoe UI" w:cs="Segoe UI"/>
                <w:sz w:val="22"/>
                <w:szCs w:val="22"/>
                <w:highlight w:val="none"/>
                <w:lang w:val="en-US" w:eastAsia="zh-CN"/>
              </w:rPr>
              <w:t>4、其他：（1）小额案件免单证赔付，</w:t>
            </w:r>
            <w:r>
              <w:rPr>
                <w:rFonts w:hint="default" w:ascii="Segoe UI" w:hAnsi="Segoe UI" w:eastAsia="Segoe UI" w:cs="Segoe UI"/>
                <w:sz w:val="22"/>
                <w:szCs w:val="22"/>
                <w:highlight w:val="none"/>
                <w:lang w:val="en-US" w:eastAsia="zh-CN"/>
              </w:rPr>
              <w:t>为最大程度地简化小额案件的理赔处理速度，提高工作效率，针对损失金额</w:t>
            </w:r>
            <w:r>
              <w:rPr>
                <w:rFonts w:hint="eastAsia" w:ascii="Segoe UI" w:hAnsi="Segoe UI" w:eastAsia="Segoe UI" w:cs="Segoe UI"/>
                <w:sz w:val="22"/>
                <w:szCs w:val="22"/>
                <w:highlight w:val="none"/>
                <w:lang w:val="en-US" w:eastAsia="zh-CN"/>
              </w:rPr>
              <w:t>2万</w:t>
            </w:r>
            <w:r>
              <w:rPr>
                <w:rFonts w:hint="default" w:ascii="Segoe UI" w:hAnsi="Segoe UI" w:eastAsia="Segoe UI" w:cs="Segoe UI"/>
                <w:sz w:val="22"/>
                <w:szCs w:val="22"/>
                <w:highlight w:val="none"/>
                <w:lang w:val="en-US" w:eastAsia="zh-CN"/>
              </w:rPr>
              <w:t>元以下案件，免纸质单证，只需提供电子单证即可赔付</w:t>
            </w:r>
            <w:r>
              <w:rPr>
                <w:rFonts w:hint="eastAsia" w:ascii="Segoe UI" w:hAnsi="Segoe UI" w:eastAsia="Segoe UI" w:cs="Segoe UI"/>
                <w:sz w:val="22"/>
                <w:szCs w:val="22"/>
                <w:highlight w:val="none"/>
                <w:lang w:val="en-US" w:eastAsia="zh-CN"/>
              </w:rPr>
              <w:t>；（2）</w:t>
            </w:r>
            <w:r>
              <w:rPr>
                <w:rFonts w:hint="default" w:ascii="Segoe UI" w:hAnsi="Segoe UI" w:eastAsia="Segoe UI" w:cs="Segoe UI"/>
                <w:sz w:val="22"/>
                <w:szCs w:val="22"/>
                <w:highlight w:val="none"/>
                <w:lang w:val="en-US" w:eastAsia="zh-CN"/>
              </w:rPr>
              <w:t>如发生保险事故，在保险责任明确但最终损失金额尚不能确定的情况下，供应商须提供不低于50%的预付赔款，以帮助困难学生得到及时救治</w:t>
            </w:r>
            <w:r>
              <w:rPr>
                <w:rFonts w:hint="eastAsia" w:ascii="Segoe UI" w:hAnsi="Segoe UI" w:eastAsia="Segoe UI" w:cs="Segoe UI"/>
                <w:sz w:val="22"/>
                <w:szCs w:val="22"/>
                <w:highlight w:val="none"/>
                <w:lang w:val="en-US" w:eastAsia="zh-CN"/>
              </w:rPr>
              <w:t>；（3）</w:t>
            </w:r>
            <w:r>
              <w:rPr>
                <w:rFonts w:hint="default" w:ascii="Segoe UI" w:hAnsi="Segoe UI" w:eastAsia="Segoe UI" w:cs="Segoe UI"/>
                <w:sz w:val="22"/>
                <w:szCs w:val="22"/>
                <w:highlight w:val="none"/>
                <w:lang w:val="en-US" w:eastAsia="zh-CN"/>
              </w:rPr>
              <w:t xml:space="preserve"> 如发生保险事故学生身亡，在保险责任明确但最终损失金额尚不能确定的情况下，供应商须提供不低于50%的预付赔款，提前赔付学校，学校再赔付至学生家属。 </w:t>
            </w:r>
          </w:p>
        </w:tc>
      </w:tr>
      <w:tr w14:paraId="0FF5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14:paraId="584883E8">
            <w:pPr>
              <w:keepNext w:val="0"/>
              <w:keepLines w:val="0"/>
              <w:widowControl/>
              <w:suppressLineNumbers w:val="0"/>
              <w:spacing w:line="375" w:lineRule="atLeast"/>
              <w:jc w:val="left"/>
              <w:rPr>
                <w:rFonts w:hint="default" w:ascii="Segoe UI" w:hAnsi="Segoe UI" w:eastAsia="Segoe UI" w:cs="Segoe UI"/>
                <w:sz w:val="22"/>
                <w:szCs w:val="22"/>
                <w:lang w:val="en-US" w:eastAsia="zh-CN"/>
              </w:rPr>
            </w:pPr>
            <w:r>
              <w:rPr>
                <w:rFonts w:hint="default" w:ascii="Segoe UI" w:hAnsi="Segoe UI" w:eastAsia="Segoe UI" w:cs="Segoe UI"/>
                <w:sz w:val="22"/>
                <w:szCs w:val="22"/>
                <w:lang w:val="en-US" w:eastAsia="zh-CN"/>
              </w:rPr>
              <w:t>服务期限</w:t>
            </w:r>
          </w:p>
        </w:tc>
        <w:tc>
          <w:tcPr>
            <w:tcW w:w="11905" w:type="dxa"/>
            <w:vAlign w:val="center"/>
          </w:tcPr>
          <w:p w14:paraId="583A5CDA">
            <w:pPr>
              <w:keepNext w:val="0"/>
              <w:keepLines w:val="0"/>
              <w:widowControl/>
              <w:suppressLineNumbers w:val="0"/>
              <w:spacing w:line="375" w:lineRule="atLeast"/>
              <w:jc w:val="left"/>
              <w:rPr>
                <w:rFonts w:hint="default" w:ascii="Segoe UI" w:hAnsi="Segoe UI" w:eastAsia="Segoe UI" w:cs="Segoe UI"/>
                <w:sz w:val="22"/>
                <w:szCs w:val="22"/>
                <w:lang w:val="en-US" w:eastAsia="zh-CN"/>
              </w:rPr>
            </w:pPr>
            <w:r>
              <w:rPr>
                <w:rFonts w:hint="default" w:ascii="Segoe UI" w:hAnsi="Segoe UI" w:eastAsia="Segoe UI" w:cs="Segoe UI"/>
                <w:sz w:val="22"/>
                <w:szCs w:val="22"/>
                <w:lang w:val="en-US" w:eastAsia="zh-CN"/>
              </w:rPr>
              <w:t>一年（2025年9月—2026年8月）</w:t>
            </w:r>
          </w:p>
        </w:tc>
      </w:tr>
      <w:tr w14:paraId="06B8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14:paraId="68E071DC">
            <w:pPr>
              <w:keepNext w:val="0"/>
              <w:keepLines w:val="0"/>
              <w:widowControl/>
              <w:suppressLineNumbers w:val="0"/>
              <w:spacing w:line="375" w:lineRule="atLeast"/>
              <w:jc w:val="left"/>
              <w:rPr>
                <w:rFonts w:hint="default" w:ascii="Segoe UI" w:hAnsi="Segoe UI" w:eastAsia="Segoe UI" w:cs="Segoe UI"/>
                <w:sz w:val="22"/>
                <w:szCs w:val="22"/>
                <w:lang w:val="en-US" w:eastAsia="zh-CN"/>
              </w:rPr>
            </w:pPr>
            <w:r>
              <w:rPr>
                <w:rFonts w:hint="eastAsia" w:ascii="Segoe UI" w:hAnsi="Segoe UI" w:eastAsia="Segoe UI" w:cs="Segoe UI"/>
                <w:sz w:val="22"/>
                <w:szCs w:val="22"/>
                <w:lang w:val="en-US" w:eastAsia="zh-CN"/>
              </w:rPr>
              <w:t>服务地点</w:t>
            </w:r>
          </w:p>
        </w:tc>
        <w:tc>
          <w:tcPr>
            <w:tcW w:w="11905" w:type="dxa"/>
            <w:vAlign w:val="center"/>
          </w:tcPr>
          <w:p w14:paraId="3626EC5B">
            <w:pPr>
              <w:keepNext w:val="0"/>
              <w:keepLines w:val="0"/>
              <w:widowControl/>
              <w:suppressLineNumbers w:val="0"/>
              <w:spacing w:line="375" w:lineRule="atLeast"/>
              <w:jc w:val="left"/>
              <w:rPr>
                <w:rFonts w:hint="default" w:ascii="Segoe UI" w:hAnsi="Segoe UI" w:eastAsia="Segoe UI" w:cs="Segoe UI"/>
                <w:sz w:val="22"/>
                <w:szCs w:val="22"/>
                <w:lang w:val="en-US" w:eastAsia="zh-CN"/>
              </w:rPr>
            </w:pPr>
            <w:r>
              <w:rPr>
                <w:rFonts w:hint="eastAsia" w:ascii="Segoe UI" w:hAnsi="Segoe UI" w:eastAsia="Segoe UI" w:cs="Segoe UI"/>
                <w:sz w:val="22"/>
                <w:szCs w:val="22"/>
                <w:lang w:val="en-US" w:eastAsia="zh-CN"/>
              </w:rPr>
              <w:t>云南省昆明市</w:t>
            </w:r>
          </w:p>
        </w:tc>
      </w:tr>
      <w:tr w14:paraId="0D02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14:paraId="16EDFA58">
            <w:pPr>
              <w:keepNext w:val="0"/>
              <w:keepLines w:val="0"/>
              <w:widowControl/>
              <w:suppressLineNumbers w:val="0"/>
              <w:spacing w:line="375" w:lineRule="atLeast"/>
              <w:jc w:val="left"/>
              <w:rPr>
                <w:rFonts w:hint="default" w:ascii="Segoe UI" w:hAnsi="Segoe UI" w:eastAsia="Segoe UI" w:cs="Segoe UI"/>
                <w:sz w:val="22"/>
                <w:szCs w:val="22"/>
                <w:lang w:val="en-US" w:eastAsia="zh-CN"/>
              </w:rPr>
            </w:pPr>
            <w:r>
              <w:rPr>
                <w:rFonts w:hint="default" w:ascii="Segoe UI" w:hAnsi="Segoe UI" w:eastAsia="Segoe UI" w:cs="Segoe UI"/>
                <w:sz w:val="22"/>
                <w:szCs w:val="22"/>
                <w:lang w:val="en-US" w:eastAsia="zh-CN"/>
              </w:rPr>
              <w:t>预算金额</w:t>
            </w:r>
          </w:p>
          <w:p w14:paraId="0519CFA3">
            <w:pPr>
              <w:keepNext w:val="0"/>
              <w:keepLines w:val="0"/>
              <w:widowControl/>
              <w:suppressLineNumbers w:val="0"/>
              <w:spacing w:line="375" w:lineRule="atLeast"/>
              <w:jc w:val="left"/>
              <w:rPr>
                <w:rFonts w:hint="default" w:ascii="Segoe UI" w:hAnsi="Segoe UI" w:eastAsia="Segoe UI" w:cs="Segoe UI"/>
                <w:sz w:val="22"/>
                <w:szCs w:val="22"/>
                <w:lang w:val="en-US" w:eastAsia="zh-CN"/>
              </w:rPr>
            </w:pPr>
            <w:r>
              <w:rPr>
                <w:rFonts w:hint="eastAsia" w:ascii="Segoe UI" w:hAnsi="Segoe UI" w:eastAsia="Segoe UI" w:cs="Segoe UI"/>
                <w:sz w:val="22"/>
                <w:szCs w:val="22"/>
                <w:lang w:val="en-US" w:eastAsia="zh-CN"/>
              </w:rPr>
              <w:t>（最高限价）</w:t>
            </w:r>
          </w:p>
        </w:tc>
        <w:tc>
          <w:tcPr>
            <w:tcW w:w="11905" w:type="dxa"/>
            <w:vAlign w:val="center"/>
          </w:tcPr>
          <w:p w14:paraId="79EEA4C8">
            <w:pPr>
              <w:keepNext w:val="0"/>
              <w:keepLines w:val="0"/>
              <w:widowControl/>
              <w:suppressLineNumbers w:val="0"/>
              <w:spacing w:line="375" w:lineRule="atLeast"/>
              <w:jc w:val="left"/>
              <w:rPr>
                <w:rFonts w:hint="default" w:ascii="Segoe UI" w:hAnsi="Segoe UI" w:eastAsia="Segoe UI" w:cs="Segoe UI"/>
                <w:sz w:val="22"/>
                <w:szCs w:val="22"/>
                <w:lang w:val="en-US" w:eastAsia="zh-CN"/>
              </w:rPr>
            </w:pPr>
            <w:r>
              <w:rPr>
                <w:rFonts w:hint="eastAsia" w:ascii="Segoe UI" w:hAnsi="Segoe UI" w:eastAsia="Segoe UI" w:cs="Segoe UI"/>
                <w:sz w:val="22"/>
                <w:szCs w:val="22"/>
                <w:lang w:val="en-US" w:eastAsia="zh-CN"/>
              </w:rPr>
              <w:t>保费规模约￥</w:t>
            </w:r>
            <w:r>
              <w:rPr>
                <w:rFonts w:hint="default" w:ascii="Segoe UI" w:hAnsi="Segoe UI" w:eastAsia="Segoe UI" w:cs="Segoe UI"/>
                <w:sz w:val="22"/>
                <w:szCs w:val="22"/>
                <w:lang w:val="en-US" w:eastAsia="zh-CN"/>
              </w:rPr>
              <w:t>623500元</w:t>
            </w:r>
            <w:r>
              <w:rPr>
                <w:rFonts w:hint="eastAsia" w:ascii="Segoe UI" w:hAnsi="Segoe UI" w:eastAsia="Segoe UI" w:cs="Segoe UI"/>
                <w:sz w:val="22"/>
                <w:szCs w:val="22"/>
                <w:lang w:val="en-US" w:eastAsia="zh-CN"/>
              </w:rPr>
              <w:t>（注：实际投保人数以9月投保时的学校在校人数为准。服务期间内学校如有学生补录或复学的情况、新招聘教师等人员增加情况，在总投保人数5%的范围内，该部分新增人员必须列入理赔范围，免收增加的保险费；若新增学生或老师人数超过保险单投保人数的5%，保险人按实际收取增加人数的保险费）。根据《中华人民共和国保险法》相关规定及保险项目惯例，招标人不向中标人支付保险经纪费用，所涉及费用由相关保险公司承担。</w:t>
            </w:r>
          </w:p>
        </w:tc>
      </w:tr>
      <w:tr w14:paraId="540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14:paraId="5CFEEFF6">
            <w:pPr>
              <w:keepNext w:val="0"/>
              <w:keepLines w:val="0"/>
              <w:widowControl/>
              <w:suppressLineNumbers w:val="0"/>
              <w:spacing w:line="375" w:lineRule="atLeast"/>
              <w:jc w:val="left"/>
              <w:rPr>
                <w:rFonts w:hint="default" w:ascii="Segoe UI" w:hAnsi="Segoe UI" w:eastAsia="Segoe UI" w:cs="Segoe UI"/>
                <w:sz w:val="22"/>
                <w:szCs w:val="22"/>
                <w:lang w:val="en-US" w:eastAsia="zh-CN"/>
              </w:rPr>
            </w:pPr>
            <w:r>
              <w:rPr>
                <w:rFonts w:hint="eastAsia" w:ascii="Segoe UI" w:hAnsi="Segoe UI" w:eastAsia="Segoe UI" w:cs="Segoe UI"/>
                <w:sz w:val="22"/>
                <w:szCs w:val="22"/>
                <w:lang w:val="en-US" w:eastAsia="zh-CN"/>
              </w:rPr>
              <w:t>理赔服务质量保证金</w:t>
            </w:r>
          </w:p>
        </w:tc>
        <w:tc>
          <w:tcPr>
            <w:tcW w:w="11905" w:type="dxa"/>
            <w:vAlign w:val="center"/>
          </w:tcPr>
          <w:p w14:paraId="461CB3BF">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中标人需缴纳5%合同款作为质保金，与理赔响应速度挂钩（未达标准扣减）。</w:t>
            </w:r>
          </w:p>
          <w:p w14:paraId="54459E3D">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1.查勘人员未在承诺时间到达，而在赔案处理中对被保险人提供的索赔资料不认可，导致保险双方就索赔无法达成一致意见，扣除100%履约保证金。</w:t>
            </w:r>
          </w:p>
          <w:p w14:paraId="4500CDE0">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2.保险公司在确认接到索赔资料后，约定的时限内未提出有关审核意见，此后又要求补充材料的，扣除50%履约保证金。</w:t>
            </w:r>
          </w:p>
          <w:p w14:paraId="4B1D0591">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3.被保险人发生保险事故时，保险公司未按照保险服务协议约定的时限完成定损，扣除100%履约保证金。</w:t>
            </w:r>
          </w:p>
          <w:p w14:paraId="593E9404">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4.双方就赔偿结果达成一致后，保险公司未在保险服务协议规定的时限内支付赔款，除按保险服务协议约定支付违约罚息外，扣除100%履约保证金。</w:t>
            </w:r>
          </w:p>
          <w:p w14:paraId="74403F19">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5.根据保险服务协议约定，被保险人或保险经纪人提出预付赔款书面申请后，保险公司未按照保险服务协议约定的时限及金额预付赔款，扣除100%履约保证金。</w:t>
            </w:r>
          </w:p>
          <w:p w14:paraId="59136EB6">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6.引入保险公估人时，保险公司如违背保险服务协议关于引入保险公估人的相关约定，扣除100%履约保证金。</w:t>
            </w:r>
          </w:p>
          <w:p w14:paraId="54A20D42">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7.未按协议约定按要求准时提供各类数据、报表信息的，扣除10%履约保证金。</w:t>
            </w:r>
          </w:p>
          <w:p w14:paraId="40EA8401">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8.保险年度结束时，结案率未达85%的，扣除50%履约保证金。</w:t>
            </w:r>
          </w:p>
          <w:p w14:paraId="2AC61C32">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9.保险年度结束后6个月内，结案率未达到95%的，扣除100%履约保证金。</w:t>
            </w:r>
          </w:p>
          <w:p w14:paraId="65FA66E4">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10.履约保证金的扣除不影响保险公司履行保险合同及本协议规定的各项义务。</w:t>
            </w:r>
          </w:p>
          <w:p w14:paraId="1C3261BC">
            <w:pPr>
              <w:keepNext w:val="0"/>
              <w:keepLines w:val="0"/>
              <w:widowControl/>
              <w:suppressLineNumbers w:val="0"/>
              <w:spacing w:line="375" w:lineRule="atLeast"/>
              <w:jc w:val="left"/>
              <w:rPr>
                <w:rFonts w:hint="eastAsia" w:ascii="Segoe UI" w:hAnsi="Segoe UI" w:eastAsia="Segoe UI" w:cs="Segoe UI"/>
                <w:sz w:val="22"/>
                <w:szCs w:val="22"/>
                <w:lang w:val="en-US" w:eastAsia="zh-CN"/>
              </w:rPr>
            </w:pPr>
            <w:r>
              <w:rPr>
                <w:rFonts w:hint="eastAsia" w:ascii="Segoe UI" w:hAnsi="Segoe UI" w:eastAsia="Segoe UI" w:cs="Segoe UI"/>
                <w:sz w:val="22"/>
                <w:szCs w:val="22"/>
                <w:lang w:val="en-US" w:eastAsia="zh-CN"/>
              </w:rPr>
              <w:t>11.承保人需在履约保证金扣除后五个工作日内，对履约保证金进行补充，若承保人不进行补充视为承保人违约，甲方有权单方面解除合同，造成的一切损失由承保人自行承担。</w:t>
            </w:r>
          </w:p>
          <w:p w14:paraId="589D6366">
            <w:pPr>
              <w:keepNext w:val="0"/>
              <w:keepLines w:val="0"/>
              <w:widowControl/>
              <w:suppressLineNumbers w:val="0"/>
              <w:spacing w:line="375" w:lineRule="atLeast"/>
              <w:jc w:val="left"/>
              <w:rPr>
                <w:rFonts w:hint="default" w:ascii="Segoe UI" w:hAnsi="Segoe UI" w:eastAsia="Segoe UI" w:cs="Segoe UI"/>
                <w:sz w:val="22"/>
                <w:szCs w:val="22"/>
                <w:lang w:val="en-US" w:eastAsia="zh-CN"/>
              </w:rPr>
            </w:pPr>
            <w:r>
              <w:rPr>
                <w:rFonts w:hint="eastAsia" w:ascii="Segoe UI" w:hAnsi="Segoe UI" w:eastAsia="Segoe UI" w:cs="Segoe UI"/>
                <w:sz w:val="22"/>
                <w:szCs w:val="22"/>
                <w:lang w:val="en-US" w:eastAsia="zh-CN"/>
              </w:rPr>
              <w:t>12.履约保证金在此保险责任期内各项遗留事宜处理完毕后五个工作日内退还保险公司，不计利息。</w:t>
            </w:r>
          </w:p>
        </w:tc>
      </w:tr>
    </w:tbl>
    <w:p w14:paraId="4325D5A2">
      <w:pPr>
        <w:pStyle w:val="3"/>
        <w:keepNext w:val="0"/>
        <w:keepLines w:val="0"/>
        <w:widowControl/>
        <w:numPr>
          <w:ilvl w:val="0"/>
          <w:numId w:val="0"/>
        </w:numPr>
        <w:suppressLineNumbers w:val="0"/>
        <w:shd w:val="clear" w:fill="FFFFFF"/>
        <w:spacing w:before="480" w:beforeAutospacing="0" w:after="240" w:afterAutospacing="0" w:line="480" w:lineRule="atLeast"/>
        <w:ind w:leftChars="0" w:right="0" w:rightChars="0"/>
        <w:outlineLvl w:val="1"/>
        <w:rPr>
          <w:rFonts w:hint="default" w:ascii="Segoe UI" w:hAnsi="Segoe UI" w:eastAsia="Segoe UI" w:cs="Segoe UI"/>
          <w:b/>
          <w:caps w:val="0"/>
          <w:color w:val="0F1115"/>
          <w:spacing w:val="0"/>
          <w:sz w:val="33"/>
          <w:szCs w:val="33"/>
          <w:shd w:val="clear" w:fill="FFFFFF"/>
        </w:rPr>
      </w:pPr>
      <w:r>
        <w:rPr>
          <w:rFonts w:hint="eastAsia" w:ascii="Segoe UI" w:hAnsi="Segoe UI" w:eastAsia="Segoe UI" w:cs="Segoe UI"/>
          <w:b/>
          <w:caps w:val="0"/>
          <w:color w:val="0F1115"/>
          <w:spacing w:val="0"/>
          <w:sz w:val="33"/>
          <w:szCs w:val="33"/>
          <w:shd w:val="clear" w:fill="FFFFFF"/>
          <w:lang w:val="en-US" w:eastAsia="zh-CN"/>
        </w:rPr>
        <w:t>二、投保</w:t>
      </w:r>
      <w:r>
        <w:rPr>
          <w:rFonts w:hint="default" w:ascii="Segoe UI" w:hAnsi="Segoe UI" w:eastAsia="Segoe UI" w:cs="Segoe UI"/>
          <w:b/>
          <w:caps w:val="0"/>
          <w:color w:val="0F1115"/>
          <w:spacing w:val="0"/>
          <w:sz w:val="33"/>
          <w:szCs w:val="33"/>
          <w:shd w:val="clear" w:fill="FFFFFF"/>
        </w:rPr>
        <w:t>险种及保障要求</w:t>
      </w:r>
    </w:p>
    <w:p w14:paraId="78162C6C">
      <w:pPr>
        <w:pStyle w:val="3"/>
        <w:keepNext w:val="0"/>
        <w:keepLines w:val="0"/>
        <w:widowControl/>
        <w:numPr>
          <w:ilvl w:val="0"/>
          <w:numId w:val="1"/>
        </w:numPr>
        <w:suppressLineNumbers w:val="0"/>
        <w:shd w:val="clear" w:fill="FFFFFF"/>
        <w:spacing w:before="480" w:beforeAutospacing="0" w:after="240" w:afterAutospacing="0" w:line="480" w:lineRule="atLeast"/>
        <w:ind w:leftChars="0" w:right="0" w:rightChars="0"/>
        <w:outlineLvl w:val="1"/>
        <w:rPr>
          <w:rFonts w:hint="default" w:ascii="Segoe UI" w:hAnsi="Segoe UI" w:eastAsia="Segoe UI" w:cs="Segoe UI"/>
          <w:b/>
          <w:caps w:val="0"/>
          <w:color w:val="0F1115"/>
          <w:spacing w:val="0"/>
          <w:sz w:val="30"/>
          <w:szCs w:val="30"/>
          <w:shd w:val="clear" w:fill="FFFFFF"/>
        </w:rPr>
      </w:pPr>
      <w:r>
        <w:rPr>
          <w:rFonts w:hint="default" w:ascii="Segoe UI" w:hAnsi="Segoe UI" w:eastAsia="Segoe UI" w:cs="Segoe UI"/>
          <w:b/>
          <w:caps w:val="0"/>
          <w:color w:val="0F1115"/>
          <w:spacing w:val="0"/>
          <w:sz w:val="30"/>
          <w:szCs w:val="30"/>
          <w:shd w:val="clear" w:fill="FFFFFF"/>
        </w:rPr>
        <w:t>险种清单</w:t>
      </w:r>
    </w:p>
    <w:tbl>
      <w:tblPr>
        <w:tblStyle w:val="8"/>
        <w:tblW w:w="52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9"/>
        <w:gridCol w:w="966"/>
        <w:gridCol w:w="6103"/>
        <w:gridCol w:w="1227"/>
        <w:gridCol w:w="655"/>
        <w:gridCol w:w="1080"/>
        <w:gridCol w:w="4031"/>
      </w:tblGrid>
      <w:tr w14:paraId="6972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5" w:hRule="atLeast"/>
          <w:jc w:val="center"/>
        </w:trPr>
        <w:tc>
          <w:tcPr>
            <w:tcW w:w="6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DFB88">
            <w:pPr>
              <w:keepNext w:val="0"/>
              <w:keepLines w:val="0"/>
              <w:widowControl/>
              <w:suppressLineNumbers w:val="0"/>
              <w:jc w:val="center"/>
              <w:textAlignment w:val="center"/>
              <w:rPr>
                <w:rFonts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险种类型</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1C55">
            <w:pPr>
              <w:keepNext w:val="0"/>
              <w:keepLines w:val="0"/>
              <w:widowControl/>
              <w:suppressLineNumbers w:val="0"/>
              <w:jc w:val="center"/>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责任范围</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1A71C">
            <w:pPr>
              <w:keepNext w:val="0"/>
              <w:keepLines w:val="0"/>
              <w:widowControl/>
              <w:suppressLineNumbers w:val="0"/>
              <w:jc w:val="center"/>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保障对象</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AB30">
            <w:pPr>
              <w:keepNext w:val="0"/>
              <w:keepLines w:val="0"/>
              <w:widowControl/>
              <w:suppressLineNumbers w:val="0"/>
              <w:jc w:val="center"/>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保费单价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C688">
            <w:pPr>
              <w:keepNext w:val="0"/>
              <w:keepLines w:val="0"/>
              <w:widowControl/>
              <w:suppressLineNumbers w:val="0"/>
              <w:jc w:val="center"/>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预计参保基数上限（人或校区）</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70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理赔条件</w:t>
            </w:r>
          </w:p>
        </w:tc>
      </w:tr>
      <w:tr w14:paraId="18D4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jc w:val="center"/>
        </w:trPr>
        <w:tc>
          <w:tcPr>
            <w:tcW w:w="6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06C6C">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校方责任保险</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FFDF">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包括因校方责任导致学生人身伤残或死亡，依法应由校方承担的</w:t>
            </w:r>
            <w:r>
              <w:rPr>
                <w:rFonts w:hint="eastAsia" w:ascii="Segoe UI" w:hAnsi="Segoe UI" w:eastAsia="Segoe UI" w:cs="Segoe UI"/>
                <w:i w:val="0"/>
                <w:iCs w:val="0"/>
                <w:color w:val="000000"/>
                <w:kern w:val="0"/>
                <w:sz w:val="22"/>
                <w:szCs w:val="22"/>
                <w:u w:val="none"/>
                <w:lang w:val="en-US" w:eastAsia="zh-CN" w:bidi="ar"/>
              </w:rPr>
              <w:t>经纪</w:t>
            </w:r>
            <w:r>
              <w:rPr>
                <w:rFonts w:hint="default" w:ascii="Segoe UI" w:hAnsi="Segoe UI" w:eastAsia="Segoe UI" w:cs="Segoe UI"/>
                <w:i w:val="0"/>
                <w:iCs w:val="0"/>
                <w:color w:val="000000"/>
                <w:kern w:val="0"/>
                <w:sz w:val="22"/>
                <w:szCs w:val="22"/>
                <w:u w:val="none"/>
                <w:lang w:val="en-US" w:eastAsia="zh-CN" w:bidi="ar"/>
              </w:rPr>
              <w:t>赔偿责任。</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8388E">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高中生</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C195">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040E">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3960</w:t>
            </w:r>
          </w:p>
        </w:tc>
        <w:tc>
          <w:tcPr>
            <w:tcW w:w="1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50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第一时间告知经纪公司：事故发生后，通过电话等方式告知经纪公司即可启动流程，最晚不超过24小时。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核心材料赔付：仅需提供医疗机构出具的诊断证明、病历、费用票据原件。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先行赔付机制：对于责任明确、单笔费用在5000元以下的案件，公司应在收到材料后先行赔付，无需等待所有手续完成。</w:t>
            </w:r>
          </w:p>
        </w:tc>
      </w:tr>
      <w:tr w14:paraId="250A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13" w:hRule="atLeast"/>
          <w:jc w:val="center"/>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2E756">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校方综合防范险</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BD26">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校方无过失责任</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A5490">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在保险期间内，在中华人民共和国境内（港澳台地区除外），在校园发生的或由学校统一组织或安排的活动过程中，因自然灾害、学生自身原因、学生体质差异、校外突发性侵害造成的学生人身伤残或死亡，尽管学校已经履行了相应职责、行为并无不当，但法院或仲裁机构仍判决或裁决学校需对受伤害学生给予</w:t>
            </w:r>
            <w:r>
              <w:rPr>
                <w:rFonts w:hint="eastAsia" w:ascii="Segoe UI" w:hAnsi="Segoe UI" w:eastAsia="Segoe UI" w:cs="Segoe UI"/>
                <w:i w:val="0"/>
                <w:iCs w:val="0"/>
                <w:color w:val="000000"/>
                <w:kern w:val="0"/>
                <w:sz w:val="22"/>
                <w:szCs w:val="22"/>
                <w:u w:val="none"/>
                <w:lang w:val="en-US" w:eastAsia="zh-CN" w:bidi="ar"/>
              </w:rPr>
              <w:t>经纪</w:t>
            </w:r>
            <w:r>
              <w:rPr>
                <w:rFonts w:hint="default" w:ascii="Segoe UI" w:hAnsi="Segoe UI" w:eastAsia="Segoe UI" w:cs="Segoe UI"/>
                <w:i w:val="0"/>
                <w:iCs w:val="0"/>
                <w:color w:val="000000"/>
                <w:kern w:val="0"/>
                <w:sz w:val="22"/>
                <w:szCs w:val="22"/>
                <w:u w:val="none"/>
                <w:lang w:val="en-US" w:eastAsia="zh-CN" w:bidi="ar"/>
              </w:rPr>
              <w:t>赔偿时，保险公司按照校方责任保险附加校方无过失责任保险合同约定负责赔偿。</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2E835">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初、高中生</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B2627">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50</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6E87F">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10226</w:t>
            </w:r>
          </w:p>
        </w:tc>
        <w:tc>
          <w:tcPr>
            <w:tcW w:w="1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0B778">
            <w:pPr>
              <w:jc w:val="center"/>
              <w:rPr>
                <w:rFonts w:hint="eastAsia" w:ascii="宋体" w:hAnsi="宋体" w:eastAsia="宋体" w:cs="宋体"/>
                <w:i w:val="0"/>
                <w:iCs w:val="0"/>
                <w:color w:val="000000"/>
                <w:sz w:val="22"/>
                <w:szCs w:val="22"/>
                <w:u w:val="none"/>
              </w:rPr>
            </w:pPr>
          </w:p>
        </w:tc>
      </w:tr>
      <w:tr w14:paraId="1813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18" w:hRule="atLeast"/>
          <w:jc w:val="center"/>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0C1D6">
            <w:pPr>
              <w:jc w:val="left"/>
              <w:rPr>
                <w:rFonts w:hint="default" w:ascii="Segoe UI" w:hAnsi="Segoe UI" w:eastAsia="Segoe UI" w:cs="Segoe UI"/>
                <w:b/>
                <w:bCs/>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4CF0">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校方传染病防治责任保险</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9F07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由于被保险人或其雇员的疏忽或过失，造成保险单载明的法定传染病（国家规定法定传染病中的：鼠疫、霍乱、流行性乙型脑炎、人感染高致病性禽流感、麻疹、 流行性出血热、登革热、肺结核、伤寒和副伤寒、手足口病、病毒性肝炎、痢疾、猩红热、 艾滋病、传染性非典型肺炎、流行性腮腺炎、急性出血性结膜炎、狂犬病）大范围传染（指10 人以上或校园内 1/5 以上注册学生感染），注册学生因在校（园）内感染特定传染病依法应由学校承担的</w:t>
            </w:r>
            <w:r>
              <w:rPr>
                <w:rFonts w:hint="eastAsia" w:ascii="Segoe UI" w:hAnsi="Segoe UI" w:eastAsia="Segoe UI" w:cs="Segoe UI"/>
                <w:i w:val="0"/>
                <w:iCs w:val="0"/>
                <w:color w:val="000000"/>
                <w:kern w:val="0"/>
                <w:sz w:val="22"/>
                <w:szCs w:val="22"/>
                <w:u w:val="none"/>
                <w:lang w:val="en-US" w:eastAsia="zh-CN" w:bidi="ar"/>
              </w:rPr>
              <w:t>经纪</w:t>
            </w:r>
            <w:r>
              <w:rPr>
                <w:rFonts w:hint="default" w:ascii="Segoe UI" w:hAnsi="Segoe UI" w:eastAsia="Segoe UI" w:cs="Segoe UI"/>
                <w:i w:val="0"/>
                <w:iCs w:val="0"/>
                <w:color w:val="000000"/>
                <w:kern w:val="0"/>
                <w:sz w:val="22"/>
                <w:szCs w:val="22"/>
                <w:u w:val="none"/>
                <w:lang w:val="en-US" w:eastAsia="zh-CN" w:bidi="ar"/>
              </w:rPr>
              <w:t>赔偿责任（主要包括身故、残疾、医疗费用）。</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64C61">
            <w:pPr>
              <w:jc w:val="center"/>
              <w:rPr>
                <w:rFonts w:hint="default" w:ascii="Segoe UI" w:hAnsi="Segoe UI" w:eastAsia="Segoe UI" w:cs="Segoe UI"/>
                <w:i w:val="0"/>
                <w:iCs w:val="0"/>
                <w:color w:val="000000"/>
                <w:sz w:val="22"/>
                <w:szCs w:val="22"/>
                <w:u w:val="none"/>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D8B46">
            <w:pPr>
              <w:jc w:val="center"/>
              <w:rPr>
                <w:rFonts w:hint="default" w:ascii="Segoe UI" w:hAnsi="Segoe UI" w:eastAsia="Segoe UI" w:cs="Segoe UI"/>
                <w:i w:val="0"/>
                <w:iCs w:val="0"/>
                <w:color w:val="000000"/>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4AD7">
            <w:pPr>
              <w:jc w:val="center"/>
              <w:rPr>
                <w:rFonts w:hint="default" w:ascii="Segoe UI" w:hAnsi="Segoe UI" w:eastAsia="Segoe UI" w:cs="Segoe UI"/>
                <w:i w:val="0"/>
                <w:iCs w:val="0"/>
                <w:color w:val="000000"/>
                <w:sz w:val="22"/>
                <w:szCs w:val="22"/>
                <w:u w:val="none"/>
              </w:rPr>
            </w:pP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A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以确诊即赔：学生凭医院出具的法定传染病诊断证明和医疗费用票据即可申请理赔。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覆盖防控费用：学校为控制疫情产生的紧急采购、消杀等合理费用，凭发票和说明可申请赔付。</w:t>
            </w:r>
          </w:p>
        </w:tc>
      </w:tr>
      <w:tr w14:paraId="573F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2" w:hRule="atLeast"/>
          <w:jc w:val="center"/>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749B6">
            <w:pPr>
              <w:jc w:val="left"/>
              <w:rPr>
                <w:rFonts w:hint="default" w:ascii="Segoe UI" w:hAnsi="Segoe UI" w:eastAsia="Segoe UI" w:cs="Segoe UI"/>
                <w:b/>
                <w:bCs/>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255DE">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校园食品安全责任保险</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330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包括因食堂、超市、食品店提供的食品或饮品导致学生的人身伤 残或死亡，依法应当承担的</w:t>
            </w:r>
            <w:r>
              <w:rPr>
                <w:rFonts w:hint="eastAsia" w:ascii="Segoe UI" w:hAnsi="Segoe UI" w:eastAsia="Segoe UI" w:cs="Segoe UI"/>
                <w:i w:val="0"/>
                <w:iCs w:val="0"/>
                <w:color w:val="000000"/>
                <w:kern w:val="0"/>
                <w:sz w:val="22"/>
                <w:szCs w:val="22"/>
                <w:u w:val="none"/>
                <w:lang w:val="en-US" w:eastAsia="zh-CN" w:bidi="ar"/>
              </w:rPr>
              <w:t>经纪</w:t>
            </w:r>
            <w:r>
              <w:rPr>
                <w:rFonts w:hint="default" w:ascii="Segoe UI" w:hAnsi="Segoe UI" w:eastAsia="Segoe UI" w:cs="Segoe UI"/>
                <w:i w:val="0"/>
                <w:iCs w:val="0"/>
                <w:color w:val="000000"/>
                <w:kern w:val="0"/>
                <w:sz w:val="22"/>
                <w:szCs w:val="22"/>
                <w:u w:val="none"/>
                <w:lang w:val="en-US" w:eastAsia="zh-CN" w:bidi="ar"/>
              </w:rPr>
              <w:t>赔偿责任。依据《学生伤害事故处理办法》和《最高人民法院关于审理人身损害赔偿案件适用法律若干问题的解释》规定的项目及相关法律法规确定，或根据当地司法行政机关的裁定确定校园食品安全责任保险的赔偿范围和标准。</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6C79E">
            <w:pPr>
              <w:jc w:val="center"/>
              <w:rPr>
                <w:rFonts w:hint="default" w:ascii="Segoe UI" w:hAnsi="Segoe UI" w:eastAsia="Segoe UI" w:cs="Segoe UI"/>
                <w:i w:val="0"/>
                <w:iCs w:val="0"/>
                <w:color w:val="000000"/>
                <w:sz w:val="22"/>
                <w:szCs w:val="22"/>
                <w:u w:val="none"/>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25735">
            <w:pPr>
              <w:jc w:val="center"/>
              <w:rPr>
                <w:rFonts w:hint="default" w:ascii="Segoe UI" w:hAnsi="Segoe UI" w:eastAsia="Segoe UI" w:cs="Segoe UI"/>
                <w:i w:val="0"/>
                <w:iCs w:val="0"/>
                <w:color w:val="000000"/>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F828F">
            <w:pPr>
              <w:jc w:val="center"/>
              <w:rPr>
                <w:rFonts w:hint="default" w:ascii="Segoe UI" w:hAnsi="Segoe UI" w:eastAsia="Segoe UI" w:cs="Segoe UI"/>
                <w:i w:val="0"/>
                <w:iCs w:val="0"/>
                <w:color w:val="000000"/>
                <w:sz w:val="22"/>
                <w:szCs w:val="22"/>
                <w:u w:val="none"/>
              </w:rPr>
            </w:pP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1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快速响应：学校通报疑似事件后，公司需立即介入，无需等待正式检测报告。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凭医赔付：学生凭就诊记录、诊断证明和医疗费用票据即可申请理赔，无需提供复杂的食品安全责任认定书。</w:t>
            </w:r>
          </w:p>
        </w:tc>
      </w:tr>
      <w:tr w14:paraId="07B3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98" w:hRule="atLeast"/>
          <w:jc w:val="center"/>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A7307">
            <w:pPr>
              <w:jc w:val="left"/>
              <w:rPr>
                <w:rFonts w:hint="default" w:ascii="Segoe UI" w:hAnsi="Segoe UI" w:eastAsia="Segoe UI" w:cs="Segoe UI"/>
                <w:b/>
                <w:bCs/>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D9CB">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其他增值服务保险（可增加）</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5860">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投标人应增设如下保险项目，至少包括：（1）因紧急情况在二级以下公立医疗机构进行急诊、抢救，依法应由</w:t>
            </w:r>
            <w:r>
              <w:rPr>
                <w:rFonts w:hint="eastAsia" w:ascii="Segoe UI" w:hAnsi="Segoe UI" w:eastAsia="Segoe UI" w:cs="Segoe UI"/>
                <w:i w:val="0"/>
                <w:iCs w:val="0"/>
                <w:color w:val="000000"/>
                <w:kern w:val="0"/>
                <w:sz w:val="22"/>
                <w:szCs w:val="22"/>
                <w:u w:val="none"/>
                <w:lang w:val="en-US" w:eastAsia="zh-CN" w:bidi="ar"/>
              </w:rPr>
              <w:t>被</w:t>
            </w:r>
            <w:r>
              <w:rPr>
                <w:rFonts w:hint="default" w:ascii="Segoe UI" w:hAnsi="Segoe UI" w:eastAsia="Segoe UI" w:cs="Segoe UI"/>
                <w:i w:val="0"/>
                <w:iCs w:val="0"/>
                <w:color w:val="000000"/>
                <w:kern w:val="0"/>
                <w:sz w:val="22"/>
                <w:szCs w:val="22"/>
                <w:u w:val="none"/>
                <w:lang w:val="en-US" w:eastAsia="zh-CN" w:bidi="ar"/>
              </w:rPr>
              <w:t>保险人承担的医疗费；（2）不在保险理赔范围内，但法院或仲裁机构判决或裁决被保险人需对受伤害学生给于</w:t>
            </w:r>
            <w:r>
              <w:rPr>
                <w:rFonts w:hint="eastAsia" w:ascii="Segoe UI" w:hAnsi="Segoe UI" w:eastAsia="Segoe UI" w:cs="Segoe UI"/>
                <w:i w:val="0"/>
                <w:iCs w:val="0"/>
                <w:color w:val="000000"/>
                <w:kern w:val="0"/>
                <w:sz w:val="22"/>
                <w:szCs w:val="22"/>
                <w:u w:val="none"/>
                <w:lang w:val="en-US" w:eastAsia="zh-CN" w:bidi="ar"/>
              </w:rPr>
              <w:t>经纪</w:t>
            </w:r>
            <w:r>
              <w:rPr>
                <w:rFonts w:hint="default" w:ascii="Segoe UI" w:hAnsi="Segoe UI" w:eastAsia="Segoe UI" w:cs="Segoe UI"/>
                <w:i w:val="0"/>
                <w:iCs w:val="0"/>
                <w:color w:val="000000"/>
                <w:kern w:val="0"/>
                <w:sz w:val="22"/>
                <w:szCs w:val="22"/>
                <w:u w:val="none"/>
                <w:lang w:val="en-US" w:eastAsia="zh-CN" w:bidi="ar"/>
              </w:rPr>
              <w:t>补偿险时；（3</w:t>
            </w:r>
            <w:r>
              <w:rPr>
                <w:rFonts w:hint="eastAsia" w:ascii="Segoe UI" w:hAnsi="Segoe UI" w:eastAsia="Segoe UI" w:cs="Segoe UI"/>
                <w:i w:val="0"/>
                <w:iCs w:val="0"/>
                <w:color w:val="000000"/>
                <w:kern w:val="0"/>
                <w:sz w:val="22"/>
                <w:szCs w:val="22"/>
                <w:u w:val="none"/>
                <w:lang w:val="en-US" w:eastAsia="zh-CN" w:bidi="ar"/>
              </w:rPr>
              <w:t>）</w:t>
            </w:r>
            <w:r>
              <w:rPr>
                <w:rFonts w:hint="default" w:ascii="Segoe UI" w:hAnsi="Segoe UI" w:eastAsia="Segoe UI" w:cs="Segoe UI"/>
                <w:i w:val="0"/>
                <w:iCs w:val="0"/>
                <w:color w:val="000000"/>
                <w:kern w:val="0"/>
                <w:sz w:val="22"/>
                <w:szCs w:val="22"/>
                <w:u w:val="none"/>
                <w:lang w:val="en-US" w:eastAsia="zh-CN" w:bidi="ar"/>
              </w:rPr>
              <w:t>其他。</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E1911">
            <w:pPr>
              <w:jc w:val="center"/>
              <w:rPr>
                <w:rFonts w:hint="default" w:ascii="Segoe UI" w:hAnsi="Segoe UI" w:eastAsia="Segoe UI" w:cs="Segoe UI"/>
                <w:i w:val="0"/>
                <w:iCs w:val="0"/>
                <w:color w:val="000000"/>
                <w:sz w:val="22"/>
                <w:szCs w:val="22"/>
                <w:u w:val="none"/>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FA6A7">
            <w:pPr>
              <w:jc w:val="center"/>
              <w:rPr>
                <w:rFonts w:hint="default" w:ascii="Segoe UI" w:hAnsi="Segoe UI" w:eastAsia="Segoe UI" w:cs="Segoe UI"/>
                <w:i w:val="0"/>
                <w:iCs w:val="0"/>
                <w:color w:val="000000"/>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810AA">
            <w:pPr>
              <w:jc w:val="center"/>
              <w:rPr>
                <w:rFonts w:hint="default" w:ascii="Segoe UI" w:hAnsi="Segoe UI" w:eastAsia="Segoe UI" w:cs="Segoe UI"/>
                <w:i w:val="0"/>
                <w:iCs w:val="0"/>
                <w:color w:val="000000"/>
                <w:sz w:val="22"/>
                <w:szCs w:val="22"/>
                <w:u w:val="none"/>
              </w:rPr>
            </w:pP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5CCA">
            <w:pPr>
              <w:rPr>
                <w:rFonts w:hint="eastAsia" w:ascii="宋体" w:hAnsi="宋体" w:eastAsia="宋体" w:cs="宋体"/>
                <w:i w:val="0"/>
                <w:iCs w:val="0"/>
                <w:color w:val="000000"/>
                <w:sz w:val="22"/>
                <w:szCs w:val="22"/>
                <w:u w:val="none"/>
              </w:rPr>
            </w:pPr>
          </w:p>
        </w:tc>
      </w:tr>
      <w:tr w14:paraId="528C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72" w:hRule="atLeast"/>
          <w:jc w:val="center"/>
        </w:trPr>
        <w:tc>
          <w:tcPr>
            <w:tcW w:w="6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4C85D">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教职员工校方责任保险</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2295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学校教职员工在履行职务过程中、在国内因公出差期间、在校方统一组织的活动中因意外伤害事故或上下班途中因交通事故或罹患与工作有关的职业性疾病，依法应由学校承担的全部或部分直接</w:t>
            </w:r>
            <w:r>
              <w:rPr>
                <w:rFonts w:hint="eastAsia" w:ascii="Segoe UI" w:hAnsi="Segoe UI" w:eastAsia="Segoe UI" w:cs="Segoe UI"/>
                <w:i w:val="0"/>
                <w:iCs w:val="0"/>
                <w:color w:val="000000"/>
                <w:kern w:val="0"/>
                <w:sz w:val="22"/>
                <w:szCs w:val="22"/>
                <w:u w:val="none"/>
                <w:lang w:val="en-US" w:eastAsia="zh-CN" w:bidi="ar"/>
              </w:rPr>
              <w:t>经纪</w:t>
            </w:r>
            <w:r>
              <w:rPr>
                <w:rFonts w:hint="default" w:ascii="Segoe UI" w:hAnsi="Segoe UI" w:eastAsia="Segoe UI" w:cs="Segoe UI"/>
                <w:i w:val="0"/>
                <w:iCs w:val="0"/>
                <w:color w:val="000000"/>
                <w:kern w:val="0"/>
                <w:sz w:val="22"/>
                <w:szCs w:val="22"/>
                <w:u w:val="none"/>
                <w:lang w:val="en-US" w:eastAsia="zh-CN" w:bidi="ar"/>
              </w:rPr>
              <w:t>损失承担赔责任。</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FD80">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教职工</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F60C">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32FC">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784</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0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简化认定流程：例如以学校出具的《工伤情况说明》 和医疗记录作为主要理赔依据。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垫付医疗费：受伤教职工住院时，保险公司应提供医疗费垫付服务，缓解资金压力。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上下班交通事故：凭交警出具的《事故认定书》、医疗记录和票据即可理赔，无需额外证明。</w:t>
            </w:r>
          </w:p>
        </w:tc>
      </w:tr>
      <w:tr w14:paraId="2BC3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62" w:hRule="atLeast"/>
          <w:jc w:val="center"/>
        </w:trPr>
        <w:tc>
          <w:tcPr>
            <w:tcW w:w="6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E5061">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校舍及教学设备财产保险</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2D44">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学校所拥有符合国家有关机关规定规划设计建造的教学用房、行政及辅助用房以及由教育主管机构统一购置下发的教学仪器、设备。或由学校统一购置符合国家相关要求的教学仪器、设备。因遭受自然灾害导致的维修费用或财产损失，由保险人在保险合同约定的赔偿范围内进行赔偿。</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96FD">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校区</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B6C3F">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3500/校区</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B96E">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4个校区</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F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现场查勘为准：报案后，保险公司需在24小时内进行现场查勘，并以查勘结果作为定损主要依据。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简化价值证明：例如对于历史久远的校产，允许以学校固定资产清单作为价值证明，无需每项都提供原始发票。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快速预付款：损失金额较大时，保险公司可在定损后提供一定数额损失预付款，用于紧急维修。</w:t>
            </w:r>
          </w:p>
        </w:tc>
      </w:tr>
    </w:tbl>
    <w:p w14:paraId="493792FF">
      <w:pPr>
        <w:pStyle w:val="4"/>
        <w:keepNext w:val="0"/>
        <w:keepLines w:val="0"/>
        <w:widowControl/>
        <w:numPr>
          <w:ilvl w:val="0"/>
          <w:numId w:val="0"/>
        </w:numPr>
        <w:suppressLineNumbers w:val="0"/>
        <w:shd w:val="clear" w:fill="FFFFFF"/>
        <w:spacing w:before="480" w:beforeAutospacing="0" w:after="240" w:afterAutospacing="0" w:line="450" w:lineRule="atLeast"/>
        <w:ind w:leftChars="0" w:right="0" w:rightChars="0"/>
        <w:outlineLvl w:val="2"/>
        <w:rPr>
          <w:rFonts w:hint="default" w:ascii="Segoe UI" w:hAnsi="Segoe UI" w:eastAsia="Segoe UI" w:cs="Segoe UI"/>
          <w:b/>
          <w:caps w:val="0"/>
          <w:color w:val="0F1115"/>
          <w:spacing w:val="0"/>
          <w:sz w:val="30"/>
          <w:szCs w:val="30"/>
          <w:shd w:val="clear" w:fill="FFFFFF"/>
        </w:rPr>
      </w:pPr>
      <w:r>
        <w:rPr>
          <w:rFonts w:hint="eastAsia" w:ascii="Segoe UI" w:hAnsi="Segoe UI" w:eastAsia="宋体" w:cs="Segoe UI"/>
          <w:b/>
          <w:caps w:val="0"/>
          <w:color w:val="0F1115"/>
          <w:spacing w:val="0"/>
          <w:sz w:val="30"/>
          <w:szCs w:val="30"/>
          <w:shd w:val="clear" w:fill="FFFFFF"/>
          <w:lang w:val="en-US" w:eastAsia="zh-CN"/>
        </w:rPr>
        <w:t>2.</w:t>
      </w:r>
      <w:r>
        <w:rPr>
          <w:rFonts w:hint="default" w:ascii="Segoe UI" w:hAnsi="Segoe UI" w:eastAsia="Segoe UI" w:cs="Segoe UI"/>
          <w:b/>
          <w:caps w:val="0"/>
          <w:color w:val="0F1115"/>
          <w:spacing w:val="0"/>
          <w:sz w:val="30"/>
          <w:szCs w:val="30"/>
          <w:shd w:val="clear" w:fill="FFFFFF"/>
        </w:rPr>
        <w:t>最</w:t>
      </w:r>
      <w:r>
        <w:rPr>
          <w:rFonts w:hint="eastAsia" w:ascii="Segoe UI" w:hAnsi="Segoe UI" w:eastAsia="Segoe UI" w:cs="Segoe UI"/>
          <w:b/>
          <w:caps w:val="0"/>
          <w:color w:val="0F1115"/>
          <w:spacing w:val="0"/>
          <w:sz w:val="30"/>
          <w:szCs w:val="30"/>
          <w:shd w:val="clear" w:fill="FFFFFF"/>
          <w:lang w:val="en-US" w:eastAsia="zh-CN"/>
        </w:rPr>
        <w:t>低责任</w:t>
      </w:r>
      <w:r>
        <w:rPr>
          <w:rFonts w:hint="default" w:ascii="Segoe UI" w:hAnsi="Segoe UI" w:eastAsia="Segoe UI" w:cs="Segoe UI"/>
          <w:b/>
          <w:caps w:val="0"/>
          <w:color w:val="0F1115"/>
          <w:spacing w:val="0"/>
          <w:sz w:val="30"/>
          <w:szCs w:val="30"/>
          <w:shd w:val="clear" w:fill="FFFFFF"/>
        </w:rPr>
        <w:t>限额</w:t>
      </w:r>
      <w:r>
        <w:rPr>
          <w:rFonts w:hint="eastAsia" w:ascii="Segoe UI" w:hAnsi="Segoe UI" w:eastAsia="Segoe UI" w:cs="Segoe UI"/>
          <w:b/>
          <w:caps w:val="0"/>
          <w:color w:val="0F1115"/>
          <w:spacing w:val="0"/>
          <w:sz w:val="30"/>
          <w:szCs w:val="30"/>
          <w:shd w:val="clear" w:fill="FFFFFF"/>
          <w:lang w:eastAsia="zh-CN"/>
        </w:rPr>
        <w:t>、</w:t>
      </w:r>
      <w:r>
        <w:rPr>
          <w:rFonts w:hint="eastAsia" w:ascii="Segoe UI" w:hAnsi="Segoe UI" w:eastAsia="Segoe UI" w:cs="Segoe UI"/>
          <w:b/>
          <w:caps w:val="0"/>
          <w:color w:val="0F1115"/>
          <w:spacing w:val="0"/>
          <w:sz w:val="30"/>
          <w:szCs w:val="30"/>
          <w:shd w:val="clear" w:fill="FFFFFF"/>
          <w:lang w:val="en-US" w:eastAsia="zh-CN"/>
        </w:rPr>
        <w:t>理赔范围和标准</w:t>
      </w:r>
    </w:p>
    <w:p w14:paraId="3D7EA74F">
      <w:pPr>
        <w:rPr>
          <w:rFonts w:hint="eastAsia" w:ascii="Segoe UI" w:hAnsi="Segoe UI" w:eastAsia="Segoe UI" w:cs="Segoe UI"/>
          <w:i w:val="0"/>
          <w:caps w:val="0"/>
          <w:color w:val="0F1115"/>
          <w:spacing w:val="0"/>
          <w:kern w:val="2"/>
          <w:sz w:val="24"/>
          <w:szCs w:val="24"/>
          <w:shd w:val="clear" w:fill="FFFFFF"/>
          <w:lang w:val="en-US" w:eastAsia="zh-CN" w:bidi="ar-SA"/>
        </w:rPr>
      </w:pPr>
      <w:r>
        <w:rPr>
          <w:rFonts w:hint="eastAsia" w:ascii="Segoe UI" w:hAnsi="Segoe UI" w:eastAsia="Segoe UI" w:cs="Segoe UI"/>
          <w:i w:val="0"/>
          <w:caps w:val="0"/>
          <w:color w:val="0F1115"/>
          <w:spacing w:val="0"/>
          <w:kern w:val="2"/>
          <w:sz w:val="24"/>
          <w:szCs w:val="24"/>
          <w:shd w:val="clear" w:fill="FFFFFF"/>
          <w:lang w:val="en-US" w:eastAsia="zh-CN" w:bidi="ar-SA"/>
        </w:rPr>
        <w:t>（1）校方责任保险：</w:t>
      </w:r>
    </w:p>
    <w:tbl>
      <w:tblPr>
        <w:tblStyle w:val="8"/>
        <w:tblW w:w="14018" w:type="dxa"/>
        <w:tblInd w:w="0" w:type="dxa"/>
        <w:shd w:val="clear" w:color="auto" w:fill="auto"/>
        <w:tblLayout w:type="fixed"/>
        <w:tblCellMar>
          <w:top w:w="0" w:type="dxa"/>
          <w:left w:w="0" w:type="dxa"/>
          <w:bottom w:w="0" w:type="dxa"/>
          <w:right w:w="0" w:type="dxa"/>
        </w:tblCellMar>
      </w:tblPr>
      <w:tblGrid>
        <w:gridCol w:w="6084"/>
        <w:gridCol w:w="3980"/>
        <w:gridCol w:w="3954"/>
      </w:tblGrid>
      <w:tr w14:paraId="2ED0141E">
        <w:tblPrEx>
          <w:shd w:val="clear" w:color="auto" w:fill="auto"/>
        </w:tblPrEx>
        <w:trPr>
          <w:trHeight w:val="582" w:hRule="atLeast"/>
        </w:trPr>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802C8">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限额类别</w:t>
            </w:r>
          </w:p>
        </w:tc>
        <w:tc>
          <w:tcPr>
            <w:tcW w:w="3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D9657">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保障额度</w:t>
            </w:r>
          </w:p>
        </w:tc>
        <w:tc>
          <w:tcPr>
            <w:tcW w:w="3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AE35">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免赔额</w:t>
            </w:r>
          </w:p>
        </w:tc>
      </w:tr>
      <w:tr w14:paraId="10935495">
        <w:trPr>
          <w:trHeight w:val="540" w:hRule="atLeast"/>
        </w:trPr>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9E4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每次事故每人责任限额</w:t>
            </w:r>
          </w:p>
        </w:tc>
        <w:tc>
          <w:tcPr>
            <w:tcW w:w="3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2F7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120万元</w:t>
            </w:r>
          </w:p>
        </w:tc>
        <w:tc>
          <w:tcPr>
            <w:tcW w:w="3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C3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赔</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额</w:t>
            </w:r>
          </w:p>
        </w:tc>
      </w:tr>
      <w:tr w14:paraId="3821E2E7">
        <w:trPr>
          <w:trHeight w:val="540" w:hRule="atLeast"/>
        </w:trPr>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71E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每校每次事故责任限额</w:t>
            </w:r>
          </w:p>
        </w:tc>
        <w:tc>
          <w:tcPr>
            <w:tcW w:w="3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2BF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无限额</w:t>
            </w:r>
          </w:p>
        </w:tc>
        <w:tc>
          <w:tcPr>
            <w:tcW w:w="3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86B40">
            <w:pPr>
              <w:jc w:val="center"/>
              <w:rPr>
                <w:rFonts w:hint="eastAsia" w:ascii="宋体" w:hAnsi="宋体" w:eastAsia="宋体" w:cs="宋体"/>
                <w:i w:val="0"/>
                <w:color w:val="000000"/>
                <w:sz w:val="21"/>
                <w:szCs w:val="21"/>
                <w:u w:val="none"/>
              </w:rPr>
            </w:pPr>
          </w:p>
        </w:tc>
      </w:tr>
      <w:tr w14:paraId="4B8A6E53">
        <w:tblPrEx>
          <w:shd w:val="clear" w:color="auto" w:fill="auto"/>
        </w:tblPrEx>
        <w:trPr>
          <w:trHeight w:val="540" w:hRule="atLeast"/>
        </w:trPr>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AA5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每次事故每人精神损害抚慰金责任限额</w:t>
            </w:r>
          </w:p>
        </w:tc>
        <w:tc>
          <w:tcPr>
            <w:tcW w:w="3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F9A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10万元</w:t>
            </w:r>
            <w:bookmarkStart w:id="0" w:name="_GoBack"/>
            <w:bookmarkEnd w:id="0"/>
          </w:p>
        </w:tc>
        <w:tc>
          <w:tcPr>
            <w:tcW w:w="3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13F64">
            <w:pPr>
              <w:jc w:val="center"/>
              <w:rPr>
                <w:rFonts w:hint="eastAsia" w:ascii="宋体" w:hAnsi="宋体" w:eastAsia="宋体" w:cs="宋体"/>
                <w:i w:val="0"/>
                <w:color w:val="000000"/>
                <w:sz w:val="21"/>
                <w:szCs w:val="21"/>
                <w:u w:val="none"/>
              </w:rPr>
            </w:pPr>
          </w:p>
        </w:tc>
      </w:tr>
      <w:tr w14:paraId="09CBADFA">
        <w:tblPrEx>
          <w:shd w:val="clear" w:color="auto" w:fill="auto"/>
        </w:tblPrEx>
        <w:trPr>
          <w:trHeight w:val="540" w:hRule="atLeast"/>
        </w:trPr>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60B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每次事故每人抚慰金责任限额</w:t>
            </w:r>
          </w:p>
        </w:tc>
        <w:tc>
          <w:tcPr>
            <w:tcW w:w="3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283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5万元</w:t>
            </w:r>
          </w:p>
        </w:tc>
        <w:tc>
          <w:tcPr>
            <w:tcW w:w="3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75EC">
            <w:pPr>
              <w:jc w:val="center"/>
              <w:rPr>
                <w:rFonts w:hint="eastAsia" w:ascii="宋体" w:hAnsi="宋体" w:eastAsia="宋体" w:cs="宋体"/>
                <w:i w:val="0"/>
                <w:color w:val="000000"/>
                <w:sz w:val="21"/>
                <w:szCs w:val="21"/>
                <w:u w:val="none"/>
              </w:rPr>
            </w:pPr>
          </w:p>
        </w:tc>
      </w:tr>
      <w:tr w14:paraId="0DAA823F">
        <w:tblPrEx>
          <w:shd w:val="clear" w:color="auto" w:fill="auto"/>
        </w:tblPrEx>
        <w:trPr>
          <w:trHeight w:val="559" w:hRule="atLeast"/>
        </w:trPr>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EED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每次事故每人医疗费责任限额</w:t>
            </w:r>
          </w:p>
        </w:tc>
        <w:tc>
          <w:tcPr>
            <w:tcW w:w="3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130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120万元</w:t>
            </w:r>
          </w:p>
        </w:tc>
        <w:tc>
          <w:tcPr>
            <w:tcW w:w="3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CC190">
            <w:pPr>
              <w:jc w:val="center"/>
              <w:rPr>
                <w:rFonts w:hint="eastAsia" w:ascii="宋体" w:hAnsi="宋体" w:eastAsia="宋体" w:cs="宋体"/>
                <w:i w:val="0"/>
                <w:color w:val="000000"/>
                <w:sz w:val="21"/>
                <w:szCs w:val="21"/>
                <w:u w:val="none"/>
              </w:rPr>
            </w:pPr>
          </w:p>
        </w:tc>
      </w:tr>
    </w:tbl>
    <w:p w14:paraId="6E68DF40">
      <w:pPr>
        <w:numPr>
          <w:ilvl w:val="0"/>
          <w:numId w:val="2"/>
        </w:numPr>
        <w:rPr>
          <w:rFonts w:hint="eastAsia" w:ascii="Segoe UI" w:hAnsi="Segoe UI" w:eastAsia="Segoe UI" w:cs="Segoe UI"/>
          <w:i w:val="0"/>
          <w:caps w:val="0"/>
          <w:color w:val="0F1115"/>
          <w:spacing w:val="0"/>
          <w:kern w:val="2"/>
          <w:sz w:val="24"/>
          <w:szCs w:val="24"/>
          <w:shd w:val="clear" w:fill="FFFFFF"/>
          <w:lang w:val="en-US" w:eastAsia="zh-CN" w:bidi="ar-SA"/>
        </w:rPr>
      </w:pPr>
      <w:r>
        <w:rPr>
          <w:rFonts w:hint="eastAsia" w:ascii="Segoe UI" w:hAnsi="Segoe UI" w:eastAsia="Segoe UI" w:cs="Segoe UI"/>
          <w:i w:val="0"/>
          <w:caps w:val="0"/>
          <w:color w:val="0F1115"/>
          <w:spacing w:val="0"/>
          <w:kern w:val="2"/>
          <w:sz w:val="24"/>
          <w:szCs w:val="24"/>
          <w:highlight w:val="none"/>
          <w:shd w:val="clear" w:fill="FFFFFF"/>
          <w:lang w:val="en-US" w:eastAsia="zh-CN" w:bidi="ar-SA"/>
        </w:rPr>
        <w:t>校方综合防范保险（</w:t>
      </w:r>
      <w:r>
        <w:rPr>
          <w:rFonts w:hint="eastAsia" w:ascii="Segoe UI" w:hAnsi="Segoe UI" w:eastAsia="Segoe UI" w:cs="Segoe UI"/>
          <w:i w:val="0"/>
          <w:caps w:val="0"/>
          <w:color w:val="0F1115"/>
          <w:spacing w:val="0"/>
          <w:kern w:val="2"/>
          <w:sz w:val="24"/>
          <w:szCs w:val="24"/>
          <w:shd w:val="clear" w:fill="FFFFFF"/>
          <w:lang w:val="en-US" w:eastAsia="zh-CN" w:bidi="ar-SA"/>
        </w:rPr>
        <w:t>至少包含：校方无过失责任保险、校园食品安全责任保险、校方传染病责任保险）</w:t>
      </w: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6"/>
        <w:gridCol w:w="3540"/>
        <w:gridCol w:w="3546"/>
        <w:gridCol w:w="3543"/>
      </w:tblGrid>
      <w:tr w14:paraId="5A9F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24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4632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保险</w:t>
            </w:r>
          </w:p>
        </w:tc>
        <w:tc>
          <w:tcPr>
            <w:tcW w:w="25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703DF5">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限额类别</w:t>
            </w:r>
          </w:p>
        </w:tc>
        <w:tc>
          <w:tcPr>
            <w:tcW w:w="1250" w:type="pct"/>
            <w:tcBorders>
              <w:top w:val="single" w:color="000000" w:sz="8" w:space="0"/>
              <w:left w:val="nil"/>
              <w:bottom w:val="single" w:color="000000" w:sz="8" w:space="0"/>
              <w:right w:val="single" w:color="000000" w:sz="8" w:space="0"/>
            </w:tcBorders>
            <w:shd w:val="clear" w:color="auto" w:fill="auto"/>
            <w:vAlign w:val="center"/>
          </w:tcPr>
          <w:p w14:paraId="6F8740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保障额度</w:t>
            </w:r>
          </w:p>
        </w:tc>
      </w:tr>
      <w:tr w14:paraId="5F8D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248" w:type="pct"/>
            <w:vMerge w:val="restart"/>
            <w:tcBorders>
              <w:top w:val="nil"/>
              <w:left w:val="single" w:color="000000" w:sz="8" w:space="0"/>
              <w:bottom w:val="single" w:color="000000" w:sz="8" w:space="0"/>
              <w:right w:val="single" w:color="000000" w:sz="8" w:space="0"/>
            </w:tcBorders>
            <w:shd w:val="clear" w:color="auto" w:fill="auto"/>
            <w:vAlign w:val="center"/>
          </w:tcPr>
          <w:p w14:paraId="3503B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校方无过失责任</w:t>
            </w:r>
          </w:p>
        </w:tc>
        <w:tc>
          <w:tcPr>
            <w:tcW w:w="2500" w:type="pct"/>
            <w:gridSpan w:val="2"/>
            <w:tcBorders>
              <w:top w:val="nil"/>
              <w:left w:val="nil"/>
              <w:bottom w:val="single" w:color="000000" w:sz="8" w:space="0"/>
              <w:right w:val="single" w:color="000000" w:sz="8" w:space="0"/>
            </w:tcBorders>
            <w:shd w:val="clear" w:color="auto" w:fill="auto"/>
            <w:vAlign w:val="center"/>
          </w:tcPr>
          <w:p w14:paraId="3242B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每生每年责任限额</w:t>
            </w:r>
          </w:p>
        </w:tc>
        <w:tc>
          <w:tcPr>
            <w:tcW w:w="1250" w:type="pct"/>
            <w:tcBorders>
              <w:top w:val="single" w:color="000000" w:sz="8" w:space="0"/>
              <w:left w:val="nil"/>
              <w:bottom w:val="single" w:color="000000" w:sz="8" w:space="0"/>
              <w:right w:val="single" w:color="000000" w:sz="8" w:space="0"/>
            </w:tcBorders>
            <w:shd w:val="clear" w:color="auto" w:fill="auto"/>
            <w:vAlign w:val="center"/>
          </w:tcPr>
          <w:p w14:paraId="0929D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
                <w:lang w:val="en-US" w:eastAsia="zh-CN" w:bidi="ar"/>
              </w:rPr>
              <w:t>80万元</w:t>
            </w:r>
          </w:p>
        </w:tc>
      </w:tr>
      <w:tr w14:paraId="4804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1248" w:type="pct"/>
            <w:vMerge w:val="continue"/>
            <w:tcBorders>
              <w:top w:val="nil"/>
              <w:left w:val="single" w:color="000000" w:sz="8" w:space="0"/>
              <w:bottom w:val="single" w:color="000000" w:sz="8" w:space="0"/>
              <w:right w:val="single" w:color="000000" w:sz="8" w:space="0"/>
            </w:tcBorders>
            <w:shd w:val="clear" w:color="auto" w:fill="auto"/>
            <w:vAlign w:val="center"/>
          </w:tcPr>
          <w:p w14:paraId="188BA0DF">
            <w:pPr>
              <w:jc w:val="center"/>
              <w:rPr>
                <w:rFonts w:hint="eastAsia" w:ascii="宋体" w:hAnsi="宋体" w:eastAsia="宋体" w:cs="宋体"/>
                <w:i w:val="0"/>
                <w:iCs w:val="0"/>
                <w:color w:val="000000"/>
                <w:sz w:val="24"/>
                <w:szCs w:val="24"/>
                <w:u w:val="none"/>
              </w:rPr>
            </w:pPr>
          </w:p>
        </w:tc>
        <w:tc>
          <w:tcPr>
            <w:tcW w:w="2500" w:type="pct"/>
            <w:gridSpan w:val="2"/>
            <w:tcBorders>
              <w:top w:val="nil"/>
              <w:left w:val="nil"/>
              <w:bottom w:val="single" w:color="000000" w:sz="8" w:space="0"/>
              <w:right w:val="single" w:color="000000" w:sz="8" w:space="0"/>
            </w:tcBorders>
            <w:shd w:val="clear" w:color="auto" w:fill="auto"/>
            <w:vAlign w:val="center"/>
          </w:tcPr>
          <w:p w14:paraId="4387C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每校每年责任限额</w:t>
            </w:r>
          </w:p>
        </w:tc>
        <w:tc>
          <w:tcPr>
            <w:tcW w:w="1250" w:type="pct"/>
            <w:tcBorders>
              <w:top w:val="nil"/>
              <w:left w:val="nil"/>
              <w:bottom w:val="single" w:color="000000" w:sz="8" w:space="0"/>
              <w:right w:val="single" w:color="000000" w:sz="8" w:space="0"/>
            </w:tcBorders>
            <w:shd w:val="clear" w:color="auto" w:fill="auto"/>
            <w:vAlign w:val="center"/>
          </w:tcPr>
          <w:p w14:paraId="1876C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无限额</w:t>
            </w:r>
          </w:p>
        </w:tc>
      </w:tr>
      <w:tr w14:paraId="733E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0" w:hRule="atLeast"/>
        </w:trPr>
        <w:tc>
          <w:tcPr>
            <w:tcW w:w="1248" w:type="pct"/>
            <w:vMerge w:val="continue"/>
            <w:tcBorders>
              <w:top w:val="nil"/>
              <w:left w:val="single" w:color="000000" w:sz="8" w:space="0"/>
              <w:bottom w:val="single" w:color="000000" w:sz="8" w:space="0"/>
              <w:right w:val="single" w:color="000000" w:sz="8" w:space="0"/>
            </w:tcBorders>
            <w:shd w:val="clear" w:color="auto" w:fill="auto"/>
            <w:vAlign w:val="center"/>
          </w:tcPr>
          <w:p w14:paraId="1C6E7A34">
            <w:pPr>
              <w:jc w:val="center"/>
              <w:rPr>
                <w:rFonts w:hint="eastAsia" w:ascii="宋体" w:hAnsi="宋体" w:eastAsia="宋体" w:cs="宋体"/>
                <w:i w:val="0"/>
                <w:iCs w:val="0"/>
                <w:color w:val="000000"/>
                <w:sz w:val="24"/>
                <w:szCs w:val="24"/>
                <w:u w:val="none"/>
              </w:rPr>
            </w:pPr>
          </w:p>
        </w:tc>
        <w:tc>
          <w:tcPr>
            <w:tcW w:w="2500" w:type="pct"/>
            <w:gridSpan w:val="2"/>
            <w:tcBorders>
              <w:top w:val="nil"/>
              <w:left w:val="nil"/>
              <w:bottom w:val="single" w:color="000000" w:sz="8" w:space="0"/>
              <w:right w:val="single" w:color="000000" w:sz="8" w:space="0"/>
            </w:tcBorders>
            <w:shd w:val="clear" w:color="auto" w:fill="auto"/>
            <w:vAlign w:val="center"/>
          </w:tcPr>
          <w:p w14:paraId="51627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第三者人身伤亡及非本校学生人身伤亡责任限额</w:t>
            </w:r>
          </w:p>
        </w:tc>
        <w:tc>
          <w:tcPr>
            <w:tcW w:w="1250" w:type="pct"/>
            <w:tcBorders>
              <w:top w:val="nil"/>
              <w:left w:val="nil"/>
              <w:bottom w:val="single" w:color="000000" w:sz="8" w:space="0"/>
              <w:right w:val="single" w:color="000000" w:sz="8" w:space="0"/>
            </w:tcBorders>
            <w:shd w:val="clear" w:color="auto" w:fill="auto"/>
            <w:vAlign w:val="center"/>
          </w:tcPr>
          <w:p w14:paraId="326CA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
                <w:lang w:val="en-US" w:eastAsia="zh-CN" w:bidi="ar"/>
              </w:rPr>
              <w:t>30万元</w:t>
            </w:r>
          </w:p>
        </w:tc>
      </w:tr>
      <w:tr w14:paraId="4428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248" w:type="pct"/>
            <w:vMerge w:val="continue"/>
            <w:tcBorders>
              <w:top w:val="nil"/>
              <w:left w:val="single" w:color="000000" w:sz="8" w:space="0"/>
              <w:bottom w:val="single" w:color="000000" w:sz="8" w:space="0"/>
              <w:right w:val="single" w:color="000000" w:sz="8" w:space="0"/>
            </w:tcBorders>
            <w:shd w:val="clear" w:color="auto" w:fill="auto"/>
            <w:vAlign w:val="center"/>
          </w:tcPr>
          <w:p w14:paraId="1C28419D">
            <w:pPr>
              <w:jc w:val="center"/>
              <w:rPr>
                <w:rFonts w:hint="eastAsia" w:ascii="宋体" w:hAnsi="宋体" w:eastAsia="宋体" w:cs="宋体"/>
                <w:i w:val="0"/>
                <w:iCs w:val="0"/>
                <w:color w:val="000000"/>
                <w:sz w:val="24"/>
                <w:szCs w:val="24"/>
                <w:u w:val="none"/>
              </w:rPr>
            </w:pPr>
          </w:p>
        </w:tc>
        <w:tc>
          <w:tcPr>
            <w:tcW w:w="1249" w:type="pct"/>
            <w:vMerge w:val="restart"/>
            <w:tcBorders>
              <w:top w:val="single" w:color="000000" w:sz="8" w:space="0"/>
              <w:left w:val="nil"/>
              <w:bottom w:val="single" w:color="000000" w:sz="8" w:space="0"/>
              <w:right w:val="single" w:color="000000" w:sz="8" w:space="0"/>
            </w:tcBorders>
            <w:shd w:val="clear" w:color="auto" w:fill="auto"/>
            <w:vAlign w:val="center"/>
          </w:tcPr>
          <w:p w14:paraId="0A92E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非校方、非疾病死亡原因救助保障</w:t>
            </w:r>
          </w:p>
        </w:tc>
        <w:tc>
          <w:tcPr>
            <w:tcW w:w="1251" w:type="pct"/>
            <w:tcBorders>
              <w:top w:val="single" w:color="000000" w:sz="8" w:space="0"/>
              <w:left w:val="nil"/>
              <w:bottom w:val="single" w:color="000000" w:sz="8" w:space="0"/>
              <w:right w:val="single" w:color="000000" w:sz="8" w:space="0"/>
            </w:tcBorders>
            <w:shd w:val="clear" w:color="auto" w:fill="auto"/>
            <w:vAlign w:val="center"/>
          </w:tcPr>
          <w:p w14:paraId="21469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每生每年责任限额</w:t>
            </w:r>
          </w:p>
        </w:tc>
        <w:tc>
          <w:tcPr>
            <w:tcW w:w="1250" w:type="pct"/>
            <w:tcBorders>
              <w:top w:val="single" w:color="000000" w:sz="8" w:space="0"/>
              <w:left w:val="nil"/>
              <w:bottom w:val="single" w:color="000000" w:sz="8" w:space="0"/>
              <w:right w:val="single" w:color="000000" w:sz="8" w:space="0"/>
            </w:tcBorders>
            <w:shd w:val="clear" w:color="auto" w:fill="auto"/>
            <w:vAlign w:val="center"/>
          </w:tcPr>
          <w:p w14:paraId="1F8DA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
                <w:lang w:val="en-US" w:eastAsia="zh-CN" w:bidi="ar"/>
              </w:rPr>
              <w:t>30万元</w:t>
            </w:r>
          </w:p>
        </w:tc>
      </w:tr>
      <w:tr w14:paraId="4C88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trPr>
        <w:tc>
          <w:tcPr>
            <w:tcW w:w="1248" w:type="pct"/>
            <w:vMerge w:val="continue"/>
            <w:tcBorders>
              <w:top w:val="nil"/>
              <w:left w:val="single" w:color="000000" w:sz="8" w:space="0"/>
              <w:bottom w:val="single" w:color="000000" w:sz="8" w:space="0"/>
              <w:right w:val="single" w:color="000000" w:sz="8" w:space="0"/>
            </w:tcBorders>
            <w:shd w:val="clear" w:color="auto" w:fill="auto"/>
            <w:vAlign w:val="center"/>
          </w:tcPr>
          <w:p w14:paraId="31BAD63E">
            <w:pPr>
              <w:jc w:val="center"/>
              <w:rPr>
                <w:rFonts w:hint="eastAsia" w:ascii="宋体" w:hAnsi="宋体" w:eastAsia="宋体" w:cs="宋体"/>
                <w:i w:val="0"/>
                <w:iCs w:val="0"/>
                <w:color w:val="000000"/>
                <w:sz w:val="24"/>
                <w:szCs w:val="24"/>
                <w:u w:val="none"/>
              </w:rPr>
            </w:pPr>
          </w:p>
        </w:tc>
        <w:tc>
          <w:tcPr>
            <w:tcW w:w="1249" w:type="pct"/>
            <w:vMerge w:val="continue"/>
            <w:tcBorders>
              <w:top w:val="single" w:color="000000" w:sz="8" w:space="0"/>
              <w:left w:val="nil"/>
              <w:bottom w:val="single" w:color="000000" w:sz="8" w:space="0"/>
              <w:right w:val="single" w:color="000000" w:sz="8" w:space="0"/>
            </w:tcBorders>
            <w:shd w:val="clear" w:color="auto" w:fill="auto"/>
            <w:vAlign w:val="center"/>
          </w:tcPr>
          <w:p w14:paraId="680EE85D">
            <w:pPr>
              <w:jc w:val="center"/>
              <w:rPr>
                <w:rFonts w:hint="eastAsia" w:ascii="宋体" w:hAnsi="宋体" w:eastAsia="宋体" w:cs="宋体"/>
                <w:i w:val="0"/>
                <w:iCs w:val="0"/>
                <w:color w:val="000000"/>
                <w:sz w:val="24"/>
                <w:szCs w:val="24"/>
                <w:u w:val="none"/>
              </w:rPr>
            </w:pPr>
          </w:p>
        </w:tc>
        <w:tc>
          <w:tcPr>
            <w:tcW w:w="1251" w:type="pct"/>
            <w:tcBorders>
              <w:top w:val="nil"/>
              <w:left w:val="nil"/>
              <w:bottom w:val="single" w:color="000000" w:sz="8" w:space="0"/>
              <w:right w:val="single" w:color="000000" w:sz="8" w:space="0"/>
            </w:tcBorders>
            <w:shd w:val="clear" w:color="auto" w:fill="auto"/>
            <w:vAlign w:val="center"/>
          </w:tcPr>
          <w:p w14:paraId="6BC97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每校每年责任限额</w:t>
            </w:r>
          </w:p>
        </w:tc>
        <w:tc>
          <w:tcPr>
            <w:tcW w:w="1250" w:type="pct"/>
            <w:tcBorders>
              <w:top w:val="nil"/>
              <w:left w:val="nil"/>
              <w:bottom w:val="single" w:color="000000" w:sz="8" w:space="0"/>
              <w:right w:val="single" w:color="000000" w:sz="8" w:space="0"/>
            </w:tcBorders>
            <w:shd w:val="clear" w:color="auto" w:fill="auto"/>
            <w:vAlign w:val="center"/>
          </w:tcPr>
          <w:p w14:paraId="181E7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无限额</w:t>
            </w:r>
          </w:p>
        </w:tc>
      </w:tr>
      <w:tr w14:paraId="38E8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248" w:type="pct"/>
            <w:vMerge w:val="continue"/>
            <w:tcBorders>
              <w:top w:val="nil"/>
              <w:left w:val="single" w:color="000000" w:sz="8" w:space="0"/>
              <w:bottom w:val="single" w:color="000000" w:sz="8" w:space="0"/>
              <w:right w:val="single" w:color="000000" w:sz="8" w:space="0"/>
            </w:tcBorders>
            <w:shd w:val="clear" w:color="auto" w:fill="auto"/>
            <w:vAlign w:val="center"/>
          </w:tcPr>
          <w:p w14:paraId="1C46C7AD">
            <w:pPr>
              <w:jc w:val="center"/>
              <w:rPr>
                <w:rFonts w:hint="eastAsia" w:ascii="宋体" w:hAnsi="宋体" w:eastAsia="宋体" w:cs="宋体"/>
                <w:i w:val="0"/>
                <w:iCs w:val="0"/>
                <w:color w:val="000000"/>
                <w:sz w:val="24"/>
                <w:szCs w:val="24"/>
                <w:u w:val="none"/>
              </w:rPr>
            </w:pPr>
          </w:p>
        </w:tc>
        <w:tc>
          <w:tcPr>
            <w:tcW w:w="1249" w:type="pct"/>
            <w:vMerge w:val="restart"/>
            <w:tcBorders>
              <w:top w:val="nil"/>
              <w:left w:val="nil"/>
              <w:bottom w:val="single" w:color="000000" w:sz="8" w:space="0"/>
              <w:right w:val="single" w:color="000000" w:sz="8" w:space="0"/>
            </w:tcBorders>
            <w:shd w:val="clear" w:color="auto" w:fill="auto"/>
            <w:vAlign w:val="center"/>
          </w:tcPr>
          <w:p w14:paraId="48316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非校方原因疾病死亡救助保障</w:t>
            </w:r>
          </w:p>
        </w:tc>
        <w:tc>
          <w:tcPr>
            <w:tcW w:w="1251" w:type="pct"/>
            <w:tcBorders>
              <w:top w:val="nil"/>
              <w:left w:val="nil"/>
              <w:bottom w:val="single" w:color="000000" w:sz="8" w:space="0"/>
              <w:right w:val="single" w:color="000000" w:sz="8" w:space="0"/>
            </w:tcBorders>
            <w:shd w:val="clear" w:color="auto" w:fill="auto"/>
            <w:vAlign w:val="center"/>
          </w:tcPr>
          <w:p w14:paraId="23028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每生每年责任限额</w:t>
            </w:r>
          </w:p>
        </w:tc>
        <w:tc>
          <w:tcPr>
            <w:tcW w:w="1250" w:type="pct"/>
            <w:tcBorders>
              <w:top w:val="nil"/>
              <w:left w:val="nil"/>
              <w:bottom w:val="single" w:color="000000" w:sz="8" w:space="0"/>
              <w:right w:val="single" w:color="000000" w:sz="8" w:space="0"/>
            </w:tcBorders>
            <w:shd w:val="clear" w:color="auto" w:fill="auto"/>
            <w:vAlign w:val="center"/>
          </w:tcPr>
          <w:p w14:paraId="541F0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
                <w:lang w:val="en-US" w:eastAsia="zh-CN" w:bidi="ar"/>
              </w:rPr>
              <w:t>10万元</w:t>
            </w:r>
          </w:p>
        </w:tc>
      </w:tr>
      <w:tr w14:paraId="74F0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trPr>
        <w:tc>
          <w:tcPr>
            <w:tcW w:w="1248" w:type="pct"/>
            <w:vMerge w:val="continue"/>
            <w:tcBorders>
              <w:top w:val="nil"/>
              <w:left w:val="single" w:color="000000" w:sz="8" w:space="0"/>
              <w:bottom w:val="single" w:color="000000" w:sz="8" w:space="0"/>
              <w:right w:val="single" w:color="000000" w:sz="8" w:space="0"/>
            </w:tcBorders>
            <w:shd w:val="clear" w:color="auto" w:fill="auto"/>
            <w:vAlign w:val="center"/>
          </w:tcPr>
          <w:p w14:paraId="5D3F83CF">
            <w:pPr>
              <w:jc w:val="center"/>
              <w:rPr>
                <w:rFonts w:hint="eastAsia" w:ascii="宋体" w:hAnsi="宋体" w:eastAsia="宋体" w:cs="宋体"/>
                <w:i w:val="0"/>
                <w:iCs w:val="0"/>
                <w:color w:val="000000"/>
                <w:sz w:val="24"/>
                <w:szCs w:val="24"/>
                <w:u w:val="none"/>
              </w:rPr>
            </w:pPr>
          </w:p>
        </w:tc>
        <w:tc>
          <w:tcPr>
            <w:tcW w:w="1249" w:type="pct"/>
            <w:vMerge w:val="continue"/>
            <w:tcBorders>
              <w:top w:val="nil"/>
              <w:left w:val="nil"/>
              <w:bottom w:val="single" w:color="000000" w:sz="8" w:space="0"/>
              <w:right w:val="single" w:color="000000" w:sz="8" w:space="0"/>
            </w:tcBorders>
            <w:shd w:val="clear" w:color="auto" w:fill="auto"/>
            <w:vAlign w:val="center"/>
          </w:tcPr>
          <w:p w14:paraId="708B7D79">
            <w:pPr>
              <w:jc w:val="center"/>
              <w:rPr>
                <w:rFonts w:hint="eastAsia" w:ascii="宋体" w:hAnsi="宋体" w:eastAsia="宋体" w:cs="宋体"/>
                <w:i w:val="0"/>
                <w:iCs w:val="0"/>
                <w:color w:val="000000"/>
                <w:sz w:val="24"/>
                <w:szCs w:val="24"/>
                <w:u w:val="none"/>
              </w:rPr>
            </w:pPr>
          </w:p>
        </w:tc>
        <w:tc>
          <w:tcPr>
            <w:tcW w:w="1251" w:type="pct"/>
            <w:tcBorders>
              <w:top w:val="nil"/>
              <w:left w:val="nil"/>
              <w:bottom w:val="single" w:color="000000" w:sz="8" w:space="0"/>
              <w:right w:val="single" w:color="000000" w:sz="8" w:space="0"/>
            </w:tcBorders>
            <w:shd w:val="clear" w:color="auto" w:fill="auto"/>
            <w:vAlign w:val="center"/>
          </w:tcPr>
          <w:p w14:paraId="7E384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每校每年责任限额</w:t>
            </w:r>
          </w:p>
        </w:tc>
        <w:tc>
          <w:tcPr>
            <w:tcW w:w="1250" w:type="pct"/>
            <w:tcBorders>
              <w:top w:val="nil"/>
              <w:left w:val="nil"/>
              <w:bottom w:val="single" w:color="000000" w:sz="8" w:space="0"/>
              <w:right w:val="single" w:color="000000" w:sz="8" w:space="0"/>
            </w:tcBorders>
            <w:shd w:val="clear" w:color="auto" w:fill="auto"/>
            <w:vAlign w:val="center"/>
          </w:tcPr>
          <w:p w14:paraId="77E67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无限额</w:t>
            </w:r>
          </w:p>
        </w:tc>
      </w:tr>
      <w:tr w14:paraId="2A48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248" w:type="pct"/>
            <w:vMerge w:val="restart"/>
            <w:tcBorders>
              <w:top w:val="nil"/>
              <w:left w:val="single" w:color="000000" w:sz="8" w:space="0"/>
              <w:bottom w:val="single" w:color="000000" w:sz="8" w:space="0"/>
              <w:right w:val="single" w:color="000000" w:sz="8" w:space="0"/>
            </w:tcBorders>
            <w:shd w:val="clear" w:color="auto" w:fill="auto"/>
            <w:vAlign w:val="center"/>
          </w:tcPr>
          <w:p w14:paraId="4C95A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校园食品卫生责任</w:t>
            </w:r>
          </w:p>
        </w:tc>
        <w:tc>
          <w:tcPr>
            <w:tcW w:w="2500" w:type="pct"/>
            <w:gridSpan w:val="2"/>
            <w:tcBorders>
              <w:top w:val="nil"/>
              <w:left w:val="nil"/>
              <w:bottom w:val="single" w:color="000000" w:sz="8" w:space="0"/>
              <w:right w:val="single" w:color="000000" w:sz="8" w:space="0"/>
            </w:tcBorders>
            <w:shd w:val="clear" w:color="auto" w:fill="auto"/>
            <w:vAlign w:val="center"/>
          </w:tcPr>
          <w:p w14:paraId="7736F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每生每年限额</w:t>
            </w:r>
          </w:p>
        </w:tc>
        <w:tc>
          <w:tcPr>
            <w:tcW w:w="1250" w:type="pct"/>
            <w:tcBorders>
              <w:top w:val="nil"/>
              <w:left w:val="nil"/>
              <w:bottom w:val="single" w:color="000000" w:sz="8" w:space="0"/>
              <w:right w:val="single" w:color="000000" w:sz="8" w:space="0"/>
            </w:tcBorders>
            <w:shd w:val="clear" w:color="auto" w:fill="auto"/>
            <w:vAlign w:val="center"/>
          </w:tcPr>
          <w:p w14:paraId="6D5D8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
                <w:lang w:val="en-US" w:eastAsia="zh-CN" w:bidi="ar"/>
              </w:rPr>
              <w:t>50万元</w:t>
            </w:r>
          </w:p>
        </w:tc>
      </w:tr>
      <w:tr w14:paraId="7E45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248" w:type="pct"/>
            <w:vMerge w:val="continue"/>
            <w:tcBorders>
              <w:top w:val="nil"/>
              <w:left w:val="single" w:color="000000" w:sz="8" w:space="0"/>
              <w:bottom w:val="single" w:color="000000" w:sz="8" w:space="0"/>
              <w:right w:val="single" w:color="000000" w:sz="8" w:space="0"/>
            </w:tcBorders>
            <w:shd w:val="clear" w:color="auto" w:fill="auto"/>
            <w:vAlign w:val="center"/>
          </w:tcPr>
          <w:p w14:paraId="03EAB393">
            <w:pPr>
              <w:jc w:val="center"/>
              <w:rPr>
                <w:rFonts w:hint="eastAsia" w:ascii="宋体" w:hAnsi="宋体" w:eastAsia="宋体" w:cs="宋体"/>
                <w:i w:val="0"/>
                <w:iCs w:val="0"/>
                <w:color w:val="000000"/>
                <w:sz w:val="24"/>
                <w:szCs w:val="24"/>
                <w:u w:val="none"/>
              </w:rPr>
            </w:pPr>
          </w:p>
        </w:tc>
        <w:tc>
          <w:tcPr>
            <w:tcW w:w="2500" w:type="pct"/>
            <w:gridSpan w:val="2"/>
            <w:tcBorders>
              <w:top w:val="nil"/>
              <w:left w:val="nil"/>
              <w:bottom w:val="single" w:color="000000" w:sz="8" w:space="0"/>
              <w:right w:val="single" w:color="000000" w:sz="8" w:space="0"/>
            </w:tcBorders>
            <w:shd w:val="clear" w:color="auto" w:fill="auto"/>
            <w:vAlign w:val="center"/>
          </w:tcPr>
          <w:p w14:paraId="0148C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每人每次事故医疗费用限额</w:t>
            </w:r>
          </w:p>
        </w:tc>
        <w:tc>
          <w:tcPr>
            <w:tcW w:w="1250" w:type="pct"/>
            <w:tcBorders>
              <w:top w:val="nil"/>
              <w:left w:val="nil"/>
              <w:bottom w:val="single" w:color="000000" w:sz="8" w:space="0"/>
              <w:right w:val="single" w:color="000000" w:sz="8" w:space="0"/>
            </w:tcBorders>
            <w:shd w:val="clear" w:color="auto" w:fill="auto"/>
            <w:vAlign w:val="center"/>
          </w:tcPr>
          <w:p w14:paraId="2CBF4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
                <w:lang w:val="en-US" w:eastAsia="zh-CN" w:bidi="ar"/>
              </w:rPr>
              <w:t>50万元</w:t>
            </w:r>
          </w:p>
        </w:tc>
      </w:tr>
      <w:tr w14:paraId="359D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trPr>
        <w:tc>
          <w:tcPr>
            <w:tcW w:w="1248" w:type="pct"/>
            <w:vMerge w:val="continue"/>
            <w:tcBorders>
              <w:top w:val="nil"/>
              <w:left w:val="single" w:color="000000" w:sz="8" w:space="0"/>
              <w:bottom w:val="single" w:color="000000" w:sz="8" w:space="0"/>
              <w:right w:val="single" w:color="000000" w:sz="8" w:space="0"/>
            </w:tcBorders>
            <w:shd w:val="clear" w:color="auto" w:fill="auto"/>
            <w:vAlign w:val="center"/>
          </w:tcPr>
          <w:p w14:paraId="7C478B02">
            <w:pPr>
              <w:jc w:val="center"/>
              <w:rPr>
                <w:rFonts w:hint="eastAsia" w:ascii="宋体" w:hAnsi="宋体" w:eastAsia="宋体" w:cs="宋体"/>
                <w:i w:val="0"/>
                <w:iCs w:val="0"/>
                <w:color w:val="000000"/>
                <w:sz w:val="24"/>
                <w:szCs w:val="24"/>
                <w:u w:val="none"/>
              </w:rPr>
            </w:pPr>
          </w:p>
        </w:tc>
        <w:tc>
          <w:tcPr>
            <w:tcW w:w="2500" w:type="pct"/>
            <w:gridSpan w:val="2"/>
            <w:tcBorders>
              <w:top w:val="nil"/>
              <w:left w:val="nil"/>
              <w:bottom w:val="single" w:color="000000" w:sz="8" w:space="0"/>
              <w:right w:val="single" w:color="000000" w:sz="8" w:space="0"/>
            </w:tcBorders>
            <w:shd w:val="clear" w:color="auto" w:fill="auto"/>
            <w:vAlign w:val="center"/>
          </w:tcPr>
          <w:p w14:paraId="56970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每校每年事故赔偿限额</w:t>
            </w:r>
          </w:p>
        </w:tc>
        <w:tc>
          <w:tcPr>
            <w:tcW w:w="1250" w:type="pct"/>
            <w:tcBorders>
              <w:top w:val="nil"/>
              <w:left w:val="nil"/>
              <w:bottom w:val="single" w:color="000000" w:sz="8" w:space="0"/>
              <w:right w:val="single" w:color="000000" w:sz="8" w:space="0"/>
            </w:tcBorders>
            <w:shd w:val="clear" w:color="auto" w:fill="auto"/>
            <w:vAlign w:val="center"/>
          </w:tcPr>
          <w:p w14:paraId="1726D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无限额</w:t>
            </w:r>
          </w:p>
        </w:tc>
      </w:tr>
      <w:tr w14:paraId="3C82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248" w:type="pct"/>
            <w:vMerge w:val="restart"/>
            <w:tcBorders>
              <w:top w:val="nil"/>
              <w:left w:val="single" w:color="000000" w:sz="8" w:space="0"/>
              <w:bottom w:val="single" w:color="000000" w:sz="8" w:space="0"/>
              <w:right w:val="single" w:color="000000" w:sz="8" w:space="0"/>
            </w:tcBorders>
            <w:shd w:val="clear" w:color="auto" w:fill="auto"/>
            <w:vAlign w:val="center"/>
          </w:tcPr>
          <w:p w14:paraId="436F8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校方传染病责任</w:t>
            </w:r>
          </w:p>
        </w:tc>
        <w:tc>
          <w:tcPr>
            <w:tcW w:w="2500" w:type="pct"/>
            <w:gridSpan w:val="2"/>
            <w:tcBorders>
              <w:top w:val="nil"/>
              <w:left w:val="nil"/>
              <w:bottom w:val="single" w:color="000000" w:sz="8" w:space="0"/>
              <w:right w:val="single" w:color="000000" w:sz="8" w:space="0"/>
            </w:tcBorders>
            <w:shd w:val="clear" w:color="auto" w:fill="auto"/>
            <w:vAlign w:val="center"/>
          </w:tcPr>
          <w:p w14:paraId="4DECB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每生每年限额</w:t>
            </w:r>
          </w:p>
        </w:tc>
        <w:tc>
          <w:tcPr>
            <w:tcW w:w="1250" w:type="pct"/>
            <w:tcBorders>
              <w:top w:val="nil"/>
              <w:left w:val="nil"/>
              <w:bottom w:val="single" w:color="000000" w:sz="8" w:space="0"/>
              <w:right w:val="single" w:color="000000" w:sz="8" w:space="0"/>
            </w:tcBorders>
            <w:shd w:val="clear" w:color="auto" w:fill="auto"/>
            <w:vAlign w:val="center"/>
          </w:tcPr>
          <w:p w14:paraId="4F2A8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
                <w:lang w:val="en-US" w:eastAsia="zh-CN" w:bidi="ar"/>
              </w:rPr>
              <w:t>60万元</w:t>
            </w:r>
          </w:p>
        </w:tc>
      </w:tr>
      <w:tr w14:paraId="7E37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248" w:type="pct"/>
            <w:vMerge w:val="continue"/>
            <w:tcBorders>
              <w:top w:val="nil"/>
              <w:left w:val="single" w:color="000000" w:sz="8" w:space="0"/>
              <w:bottom w:val="single" w:color="000000" w:sz="8" w:space="0"/>
              <w:right w:val="single" w:color="000000" w:sz="8" w:space="0"/>
            </w:tcBorders>
            <w:shd w:val="clear" w:color="auto" w:fill="auto"/>
            <w:vAlign w:val="center"/>
          </w:tcPr>
          <w:p w14:paraId="6C42952D">
            <w:pPr>
              <w:jc w:val="center"/>
              <w:rPr>
                <w:rFonts w:hint="eastAsia" w:ascii="宋体" w:hAnsi="宋体" w:eastAsia="宋体" w:cs="宋体"/>
                <w:i w:val="0"/>
                <w:iCs w:val="0"/>
                <w:color w:val="000000"/>
                <w:sz w:val="24"/>
                <w:szCs w:val="24"/>
                <w:u w:val="none"/>
              </w:rPr>
            </w:pPr>
          </w:p>
        </w:tc>
        <w:tc>
          <w:tcPr>
            <w:tcW w:w="2500" w:type="pct"/>
            <w:gridSpan w:val="2"/>
            <w:tcBorders>
              <w:top w:val="nil"/>
              <w:left w:val="nil"/>
              <w:bottom w:val="single" w:color="000000" w:sz="8" w:space="0"/>
              <w:right w:val="single" w:color="000000" w:sz="8" w:space="0"/>
            </w:tcBorders>
            <w:shd w:val="clear" w:color="auto" w:fill="auto"/>
            <w:vAlign w:val="center"/>
          </w:tcPr>
          <w:p w14:paraId="20151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每人每次事故医疗费用限额</w:t>
            </w:r>
          </w:p>
        </w:tc>
        <w:tc>
          <w:tcPr>
            <w:tcW w:w="1250" w:type="pct"/>
            <w:tcBorders>
              <w:top w:val="nil"/>
              <w:left w:val="nil"/>
              <w:bottom w:val="single" w:color="000000" w:sz="8" w:space="0"/>
              <w:right w:val="single" w:color="000000" w:sz="8" w:space="0"/>
            </w:tcBorders>
            <w:shd w:val="clear" w:color="auto" w:fill="auto"/>
            <w:vAlign w:val="center"/>
          </w:tcPr>
          <w:p w14:paraId="40126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
                <w:lang w:val="en-US" w:eastAsia="zh-CN" w:bidi="ar"/>
              </w:rPr>
              <w:t>60万元</w:t>
            </w:r>
          </w:p>
        </w:tc>
      </w:tr>
      <w:tr w14:paraId="269B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1248" w:type="pct"/>
            <w:vMerge w:val="continue"/>
            <w:tcBorders>
              <w:top w:val="nil"/>
              <w:left w:val="single" w:color="000000" w:sz="8" w:space="0"/>
              <w:bottom w:val="single" w:color="000000" w:sz="8" w:space="0"/>
              <w:right w:val="single" w:color="000000" w:sz="8" w:space="0"/>
            </w:tcBorders>
            <w:shd w:val="clear" w:color="auto" w:fill="auto"/>
            <w:vAlign w:val="center"/>
          </w:tcPr>
          <w:p w14:paraId="7B14CAD7">
            <w:pPr>
              <w:jc w:val="center"/>
              <w:rPr>
                <w:rFonts w:hint="eastAsia" w:ascii="宋体" w:hAnsi="宋体" w:eastAsia="宋体" w:cs="宋体"/>
                <w:i w:val="0"/>
                <w:iCs w:val="0"/>
                <w:color w:val="000000"/>
                <w:sz w:val="24"/>
                <w:szCs w:val="24"/>
                <w:u w:val="none"/>
              </w:rPr>
            </w:pPr>
          </w:p>
        </w:tc>
        <w:tc>
          <w:tcPr>
            <w:tcW w:w="2500" w:type="pct"/>
            <w:gridSpan w:val="2"/>
            <w:tcBorders>
              <w:top w:val="nil"/>
              <w:left w:val="nil"/>
              <w:bottom w:val="single" w:color="000000" w:sz="8" w:space="0"/>
              <w:right w:val="single" w:color="000000" w:sz="8" w:space="0"/>
            </w:tcBorders>
            <w:shd w:val="clear" w:color="auto" w:fill="auto"/>
            <w:vAlign w:val="center"/>
          </w:tcPr>
          <w:p w14:paraId="3AE28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每校每年责任限额</w:t>
            </w:r>
          </w:p>
        </w:tc>
        <w:tc>
          <w:tcPr>
            <w:tcW w:w="1250" w:type="pct"/>
            <w:tcBorders>
              <w:top w:val="nil"/>
              <w:left w:val="nil"/>
              <w:bottom w:val="single" w:color="000000" w:sz="8" w:space="0"/>
              <w:right w:val="single" w:color="000000" w:sz="8" w:space="0"/>
            </w:tcBorders>
            <w:shd w:val="clear" w:color="auto" w:fill="auto"/>
            <w:vAlign w:val="center"/>
          </w:tcPr>
          <w:p w14:paraId="7599D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无限额</w:t>
            </w:r>
          </w:p>
        </w:tc>
      </w:tr>
      <w:tr w14:paraId="14478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248" w:type="pct"/>
            <w:vMerge w:val="continue"/>
            <w:tcBorders>
              <w:top w:val="nil"/>
              <w:left w:val="single" w:color="000000" w:sz="8" w:space="0"/>
              <w:bottom w:val="single" w:color="000000" w:sz="8" w:space="0"/>
              <w:right w:val="single" w:color="000000" w:sz="8" w:space="0"/>
            </w:tcBorders>
            <w:shd w:val="clear" w:color="auto" w:fill="auto"/>
            <w:vAlign w:val="center"/>
          </w:tcPr>
          <w:p w14:paraId="09DBA83C">
            <w:pPr>
              <w:jc w:val="center"/>
              <w:rPr>
                <w:rFonts w:hint="eastAsia" w:ascii="宋体" w:hAnsi="宋体" w:eastAsia="宋体" w:cs="宋体"/>
                <w:i w:val="0"/>
                <w:iCs w:val="0"/>
                <w:color w:val="000000"/>
                <w:sz w:val="24"/>
                <w:szCs w:val="24"/>
                <w:u w:val="none"/>
              </w:rPr>
            </w:pPr>
          </w:p>
        </w:tc>
        <w:tc>
          <w:tcPr>
            <w:tcW w:w="2500" w:type="pct"/>
            <w:gridSpan w:val="2"/>
            <w:tcBorders>
              <w:top w:val="nil"/>
              <w:left w:val="nil"/>
              <w:bottom w:val="single" w:color="000000" w:sz="8" w:space="0"/>
              <w:right w:val="single" w:color="000000" w:sz="8" w:space="0"/>
            </w:tcBorders>
            <w:shd w:val="clear" w:color="auto" w:fill="auto"/>
            <w:vAlign w:val="center"/>
          </w:tcPr>
          <w:p w14:paraId="58C64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每次事故传染病控制费用限额</w:t>
            </w:r>
          </w:p>
        </w:tc>
        <w:tc>
          <w:tcPr>
            <w:tcW w:w="1250" w:type="pct"/>
            <w:tcBorders>
              <w:top w:val="nil"/>
              <w:left w:val="nil"/>
              <w:bottom w:val="single" w:color="000000" w:sz="8" w:space="0"/>
              <w:right w:val="single" w:color="000000" w:sz="8" w:space="0"/>
            </w:tcBorders>
            <w:shd w:val="clear" w:color="auto" w:fill="auto"/>
            <w:vAlign w:val="center"/>
          </w:tcPr>
          <w:p w14:paraId="7EA77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
                <w:lang w:val="en-US" w:eastAsia="zh-CN" w:bidi="ar"/>
              </w:rPr>
              <w:t>10万元</w:t>
            </w:r>
          </w:p>
        </w:tc>
      </w:tr>
      <w:tr w14:paraId="4B47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248" w:type="pct"/>
            <w:vMerge w:val="continue"/>
            <w:tcBorders>
              <w:top w:val="nil"/>
              <w:left w:val="single" w:color="000000" w:sz="8" w:space="0"/>
              <w:bottom w:val="single" w:color="000000" w:sz="8" w:space="0"/>
              <w:right w:val="single" w:color="000000" w:sz="8" w:space="0"/>
            </w:tcBorders>
            <w:shd w:val="clear" w:color="auto" w:fill="auto"/>
            <w:vAlign w:val="center"/>
          </w:tcPr>
          <w:p w14:paraId="3277646E">
            <w:pPr>
              <w:jc w:val="center"/>
              <w:rPr>
                <w:rFonts w:hint="eastAsia" w:ascii="宋体" w:hAnsi="宋体" w:eastAsia="宋体" w:cs="宋体"/>
                <w:i w:val="0"/>
                <w:iCs w:val="0"/>
                <w:color w:val="000000"/>
                <w:sz w:val="24"/>
                <w:szCs w:val="24"/>
                <w:u w:val="none"/>
              </w:rPr>
            </w:pPr>
          </w:p>
        </w:tc>
        <w:tc>
          <w:tcPr>
            <w:tcW w:w="2500" w:type="pct"/>
            <w:gridSpan w:val="2"/>
            <w:tcBorders>
              <w:top w:val="nil"/>
              <w:left w:val="nil"/>
              <w:bottom w:val="single" w:color="000000" w:sz="8" w:space="0"/>
              <w:right w:val="single" w:color="000000" w:sz="8" w:space="0"/>
            </w:tcBorders>
            <w:shd w:val="clear" w:color="auto" w:fill="auto"/>
            <w:vAlign w:val="center"/>
          </w:tcPr>
          <w:p w14:paraId="7725E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教职工感染医疗费用限额</w:t>
            </w:r>
          </w:p>
        </w:tc>
        <w:tc>
          <w:tcPr>
            <w:tcW w:w="1250" w:type="pct"/>
            <w:tcBorders>
              <w:top w:val="nil"/>
              <w:left w:val="nil"/>
              <w:bottom w:val="single" w:color="000000" w:sz="8" w:space="0"/>
              <w:right w:val="single" w:color="000000" w:sz="8" w:space="0"/>
            </w:tcBorders>
            <w:shd w:val="clear" w:color="auto" w:fill="auto"/>
            <w:vAlign w:val="center"/>
          </w:tcPr>
          <w:p w14:paraId="4CEF8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
                <w:lang w:val="en-US" w:eastAsia="zh-CN" w:bidi="ar"/>
              </w:rPr>
              <w:t>5万元</w:t>
            </w:r>
          </w:p>
        </w:tc>
      </w:tr>
    </w:tbl>
    <w:p w14:paraId="786C680A">
      <w:pPr>
        <w:pStyle w:val="7"/>
        <w:keepNext w:val="0"/>
        <w:keepLines w:val="0"/>
        <w:widowControl/>
        <w:suppressLineNumbers w:val="0"/>
        <w:spacing w:before="0" w:beforeAutospacing="0" w:after="0" w:afterAutospacing="0"/>
        <w:ind w:left="0" w:right="0"/>
        <w:rPr>
          <w:rFonts w:hint="eastAsia" w:ascii="Segoe UI" w:hAnsi="Segoe UI" w:eastAsia="Segoe UI" w:cs="Segoe UI"/>
          <w:i w:val="0"/>
          <w:caps w:val="0"/>
          <w:color w:val="0F1115"/>
          <w:spacing w:val="0"/>
          <w:kern w:val="2"/>
          <w:sz w:val="24"/>
          <w:szCs w:val="24"/>
          <w:shd w:val="clear" w:fill="FFFFFF"/>
          <w:lang w:val="en-US" w:eastAsia="zh-CN" w:bidi="ar-SA"/>
        </w:rPr>
      </w:pPr>
      <w:r>
        <w:rPr>
          <w:rFonts w:hint="eastAsia" w:ascii="Segoe UI" w:hAnsi="Segoe UI" w:eastAsia="Segoe UI" w:cs="Segoe UI"/>
          <w:i w:val="0"/>
          <w:caps w:val="0"/>
          <w:color w:val="0F1115"/>
          <w:spacing w:val="0"/>
          <w:kern w:val="2"/>
          <w:sz w:val="24"/>
          <w:szCs w:val="24"/>
          <w:highlight w:val="none"/>
          <w:shd w:val="clear" w:fill="FFFFFF"/>
          <w:lang w:val="en-US" w:eastAsia="zh-CN" w:bidi="ar-SA"/>
        </w:rPr>
        <w:t>（3）教师校方责任险</w:t>
      </w:r>
    </w:p>
    <w:tbl>
      <w:tblPr>
        <w:tblStyle w:val="8"/>
        <w:tblW w:w="14359" w:type="dxa"/>
        <w:tblInd w:w="0" w:type="dxa"/>
        <w:shd w:val="clear" w:color="auto" w:fill="auto"/>
        <w:tblLayout w:type="fixed"/>
        <w:tblCellMar>
          <w:top w:w="0" w:type="dxa"/>
          <w:left w:w="0" w:type="dxa"/>
          <w:bottom w:w="0" w:type="dxa"/>
          <w:right w:w="0" w:type="dxa"/>
        </w:tblCellMar>
      </w:tblPr>
      <w:tblGrid>
        <w:gridCol w:w="9135"/>
        <w:gridCol w:w="5224"/>
      </w:tblGrid>
      <w:tr w14:paraId="6BB9F02A">
        <w:tblPrEx>
          <w:shd w:val="clear" w:color="auto" w:fill="auto"/>
        </w:tblPrEx>
        <w:trPr>
          <w:trHeight w:val="519"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405F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限额类别</w:t>
            </w:r>
          </w:p>
        </w:tc>
        <w:tc>
          <w:tcPr>
            <w:tcW w:w="5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B6ED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保障额度</w:t>
            </w:r>
          </w:p>
        </w:tc>
      </w:tr>
      <w:tr w14:paraId="435F4C43">
        <w:tblPrEx>
          <w:shd w:val="clear" w:color="auto" w:fill="auto"/>
        </w:tblPrEx>
        <w:trPr>
          <w:trHeight w:val="519"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85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每人每次事故责任限额</w:t>
            </w:r>
          </w:p>
        </w:tc>
        <w:tc>
          <w:tcPr>
            <w:tcW w:w="5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FC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100万</w:t>
            </w:r>
          </w:p>
        </w:tc>
      </w:tr>
      <w:tr w14:paraId="2D1E181A">
        <w:tblPrEx>
          <w:shd w:val="clear" w:color="auto" w:fill="auto"/>
        </w:tblPrEx>
        <w:trPr>
          <w:trHeight w:val="456"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C7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特别费用限额</w:t>
            </w:r>
          </w:p>
        </w:tc>
        <w:tc>
          <w:tcPr>
            <w:tcW w:w="5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2B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2万</w:t>
            </w:r>
          </w:p>
        </w:tc>
      </w:tr>
      <w:tr w14:paraId="05AF9E17">
        <w:tblPrEx>
          <w:shd w:val="clear" w:color="auto" w:fill="auto"/>
        </w:tblPrEx>
        <w:trPr>
          <w:trHeight w:val="456"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CD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精神损害赔偿限额</w:t>
            </w:r>
          </w:p>
        </w:tc>
        <w:tc>
          <w:tcPr>
            <w:tcW w:w="5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FA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5万</w:t>
            </w:r>
          </w:p>
        </w:tc>
      </w:tr>
      <w:tr w14:paraId="1D8507EC">
        <w:tblPrEx>
          <w:shd w:val="clear" w:color="auto" w:fill="auto"/>
        </w:tblPrEx>
        <w:trPr>
          <w:trHeight w:val="456"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7E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每人每次意外医疗费用限额</w:t>
            </w:r>
          </w:p>
        </w:tc>
        <w:tc>
          <w:tcPr>
            <w:tcW w:w="5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5F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5万</w:t>
            </w:r>
          </w:p>
        </w:tc>
      </w:tr>
      <w:tr w14:paraId="09479CF8">
        <w:tblPrEx>
          <w:shd w:val="clear" w:color="auto" w:fill="auto"/>
        </w:tblPrEx>
        <w:trPr>
          <w:trHeight w:val="456"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9F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校方补充责任限额</w:t>
            </w:r>
          </w:p>
        </w:tc>
        <w:tc>
          <w:tcPr>
            <w:tcW w:w="5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2B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10万</w:t>
            </w:r>
          </w:p>
        </w:tc>
      </w:tr>
      <w:tr w14:paraId="0781548C">
        <w:tblPrEx>
          <w:shd w:val="clear" w:color="auto" w:fill="auto"/>
        </w:tblPrEx>
        <w:trPr>
          <w:trHeight w:val="456"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C2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法律费用赔偿限额</w:t>
            </w:r>
          </w:p>
        </w:tc>
        <w:tc>
          <w:tcPr>
            <w:tcW w:w="5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DD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3万</w:t>
            </w:r>
          </w:p>
        </w:tc>
      </w:tr>
      <w:tr w14:paraId="1E3CB760">
        <w:tblPrEx>
          <w:shd w:val="clear" w:color="auto" w:fill="auto"/>
        </w:tblPrEx>
        <w:trPr>
          <w:trHeight w:val="456"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2A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突发疾病48小时内身故或残疾赔偿限额</w:t>
            </w:r>
          </w:p>
        </w:tc>
        <w:tc>
          <w:tcPr>
            <w:tcW w:w="5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2A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15万</w:t>
            </w:r>
          </w:p>
        </w:tc>
      </w:tr>
      <w:tr w14:paraId="632B4712">
        <w:tblPrEx>
          <w:shd w:val="clear" w:color="auto" w:fill="auto"/>
        </w:tblPrEx>
        <w:trPr>
          <w:trHeight w:val="456"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F9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第三者责任身故或残疾限额</w:t>
            </w:r>
          </w:p>
        </w:tc>
        <w:tc>
          <w:tcPr>
            <w:tcW w:w="5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9D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10万</w:t>
            </w:r>
          </w:p>
        </w:tc>
      </w:tr>
      <w:tr w14:paraId="1025C0BF">
        <w:tblPrEx>
          <w:shd w:val="clear" w:color="auto" w:fill="auto"/>
        </w:tblPrEx>
        <w:trPr>
          <w:trHeight w:val="486"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D6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交通工具意外事故责任限额</w:t>
            </w:r>
          </w:p>
        </w:tc>
        <w:tc>
          <w:tcPr>
            <w:tcW w:w="5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90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3万</w:t>
            </w:r>
          </w:p>
        </w:tc>
      </w:tr>
    </w:tbl>
    <w:p w14:paraId="10D47725">
      <w:pPr>
        <w:pStyle w:val="7"/>
        <w:keepNext w:val="0"/>
        <w:keepLines w:val="0"/>
        <w:widowControl/>
        <w:numPr>
          <w:ilvl w:val="0"/>
          <w:numId w:val="3"/>
        </w:numPr>
        <w:suppressLineNumbers w:val="0"/>
        <w:spacing w:before="0" w:beforeAutospacing="0" w:after="0" w:afterAutospacing="0"/>
        <w:ind w:left="0" w:right="0"/>
        <w:rPr>
          <w:rFonts w:hint="eastAsia" w:ascii="Segoe UI" w:hAnsi="Segoe UI" w:eastAsia="Segoe UI" w:cs="Segoe UI"/>
          <w:i w:val="0"/>
          <w:caps w:val="0"/>
          <w:color w:val="0F1115"/>
          <w:spacing w:val="0"/>
          <w:kern w:val="2"/>
          <w:sz w:val="24"/>
          <w:szCs w:val="24"/>
          <w:highlight w:val="none"/>
          <w:shd w:val="clear" w:fill="FFFFFF"/>
          <w:lang w:val="en-US" w:eastAsia="zh-CN" w:bidi="ar-SA"/>
        </w:rPr>
      </w:pPr>
      <w:r>
        <w:rPr>
          <w:rFonts w:hint="eastAsia" w:ascii="Segoe UI" w:hAnsi="Segoe UI" w:eastAsia="Segoe UI" w:cs="Segoe UI"/>
          <w:i w:val="0"/>
          <w:caps w:val="0"/>
          <w:color w:val="0F1115"/>
          <w:spacing w:val="0"/>
          <w:kern w:val="2"/>
          <w:sz w:val="24"/>
          <w:szCs w:val="24"/>
          <w:highlight w:val="none"/>
          <w:shd w:val="clear" w:fill="FFFFFF"/>
          <w:lang w:val="en-US" w:eastAsia="zh-CN" w:bidi="ar-SA"/>
        </w:rPr>
        <w:t>校舍及教学设备财产保险</w:t>
      </w:r>
    </w:p>
    <w:tbl>
      <w:tblPr>
        <w:tblStyle w:val="8"/>
        <w:tblW w:w="50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1"/>
        <w:gridCol w:w="6227"/>
      </w:tblGrid>
      <w:tr w14:paraId="58B5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1" w:hRule="atLeast"/>
        </w:trPr>
        <w:tc>
          <w:tcPr>
            <w:tcW w:w="2843" w:type="pct"/>
            <w:tcBorders>
              <w:top w:val="single" w:color="000000" w:sz="8" w:space="0"/>
              <w:left w:val="nil"/>
              <w:bottom w:val="single" w:color="000000" w:sz="8" w:space="0"/>
              <w:right w:val="single" w:color="000000" w:sz="8" w:space="0"/>
            </w:tcBorders>
            <w:shd w:val="clear" w:color="auto" w:fill="auto"/>
            <w:vAlign w:val="center"/>
          </w:tcPr>
          <w:p w14:paraId="3FCABE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限额类别</w:t>
            </w:r>
          </w:p>
        </w:tc>
        <w:tc>
          <w:tcPr>
            <w:tcW w:w="2156" w:type="pct"/>
            <w:tcBorders>
              <w:top w:val="single" w:color="000000" w:sz="8" w:space="0"/>
              <w:left w:val="nil"/>
              <w:bottom w:val="single" w:color="000000" w:sz="8" w:space="0"/>
              <w:right w:val="single" w:color="000000" w:sz="8" w:space="0"/>
            </w:tcBorders>
            <w:shd w:val="clear" w:color="auto" w:fill="auto"/>
            <w:vAlign w:val="center"/>
          </w:tcPr>
          <w:p w14:paraId="7F0ECF9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保障额度</w:t>
            </w:r>
          </w:p>
        </w:tc>
      </w:tr>
      <w:tr w14:paraId="2504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5" w:hRule="atLeast"/>
        </w:trPr>
        <w:tc>
          <w:tcPr>
            <w:tcW w:w="2843" w:type="pct"/>
            <w:tcBorders>
              <w:top w:val="nil"/>
              <w:left w:val="nil"/>
              <w:bottom w:val="single" w:color="000000" w:sz="8" w:space="0"/>
              <w:right w:val="single" w:color="000000" w:sz="8" w:space="0"/>
            </w:tcBorders>
            <w:shd w:val="clear" w:color="auto" w:fill="auto"/>
            <w:noWrap/>
            <w:vAlign w:val="center"/>
          </w:tcPr>
          <w:p w14:paraId="77983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校舍累计事故赔偿限额</w:t>
            </w:r>
          </w:p>
        </w:tc>
        <w:tc>
          <w:tcPr>
            <w:tcW w:w="2156" w:type="pct"/>
            <w:tcBorders>
              <w:top w:val="nil"/>
              <w:left w:val="nil"/>
              <w:bottom w:val="single" w:color="000000" w:sz="8" w:space="0"/>
              <w:right w:val="single" w:color="000000" w:sz="8" w:space="0"/>
            </w:tcBorders>
            <w:shd w:val="clear" w:color="auto" w:fill="auto"/>
            <w:noWrap/>
            <w:vAlign w:val="center"/>
          </w:tcPr>
          <w:p w14:paraId="29A46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无限额</w:t>
            </w:r>
          </w:p>
        </w:tc>
      </w:tr>
      <w:tr w14:paraId="1BC8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4" w:hRule="atLeast"/>
        </w:trPr>
        <w:tc>
          <w:tcPr>
            <w:tcW w:w="2843" w:type="pct"/>
            <w:tcBorders>
              <w:top w:val="nil"/>
              <w:left w:val="nil"/>
              <w:bottom w:val="single" w:color="000000" w:sz="8" w:space="0"/>
              <w:right w:val="single" w:color="000000" w:sz="8" w:space="0"/>
            </w:tcBorders>
            <w:shd w:val="clear" w:color="auto" w:fill="auto"/>
            <w:noWrap/>
            <w:vAlign w:val="center"/>
          </w:tcPr>
          <w:p w14:paraId="6CC1C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每次事故赔偿限额</w:t>
            </w:r>
          </w:p>
        </w:tc>
        <w:tc>
          <w:tcPr>
            <w:tcW w:w="2156" w:type="pct"/>
            <w:tcBorders>
              <w:top w:val="nil"/>
              <w:left w:val="nil"/>
              <w:bottom w:val="single" w:color="000000" w:sz="8" w:space="0"/>
              <w:right w:val="single" w:color="000000" w:sz="8" w:space="0"/>
            </w:tcBorders>
            <w:shd w:val="clear" w:color="auto" w:fill="auto"/>
            <w:noWrap/>
            <w:vAlign w:val="center"/>
          </w:tcPr>
          <w:p w14:paraId="19902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30万</w:t>
            </w:r>
          </w:p>
        </w:tc>
      </w:tr>
      <w:tr w14:paraId="55C8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5" w:hRule="atLeast"/>
        </w:trPr>
        <w:tc>
          <w:tcPr>
            <w:tcW w:w="2843" w:type="pct"/>
            <w:tcBorders>
              <w:top w:val="nil"/>
              <w:left w:val="nil"/>
              <w:bottom w:val="single" w:color="000000" w:sz="8" w:space="0"/>
              <w:right w:val="single" w:color="000000" w:sz="8" w:space="0"/>
            </w:tcBorders>
            <w:shd w:val="clear" w:color="auto" w:fill="auto"/>
            <w:noWrap/>
            <w:vAlign w:val="center"/>
          </w:tcPr>
          <w:p w14:paraId="35090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地震、地面突然下陷下沉累计赔偿限额</w:t>
            </w:r>
          </w:p>
        </w:tc>
        <w:tc>
          <w:tcPr>
            <w:tcW w:w="2156" w:type="pct"/>
            <w:tcBorders>
              <w:top w:val="nil"/>
              <w:left w:val="nil"/>
              <w:bottom w:val="single" w:color="000000" w:sz="8" w:space="0"/>
              <w:right w:val="single" w:color="000000" w:sz="8" w:space="0"/>
            </w:tcBorders>
            <w:shd w:val="clear" w:color="auto" w:fill="auto"/>
            <w:noWrap/>
            <w:vAlign w:val="center"/>
          </w:tcPr>
          <w:p w14:paraId="1A073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40万</w:t>
            </w:r>
          </w:p>
        </w:tc>
      </w:tr>
      <w:tr w14:paraId="055D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1" w:hRule="atLeast"/>
        </w:trPr>
        <w:tc>
          <w:tcPr>
            <w:tcW w:w="2843" w:type="pct"/>
            <w:tcBorders>
              <w:top w:val="nil"/>
              <w:left w:val="nil"/>
              <w:bottom w:val="single" w:color="000000" w:sz="8" w:space="0"/>
              <w:right w:val="single" w:color="000000" w:sz="8" w:space="0"/>
            </w:tcBorders>
            <w:shd w:val="clear" w:color="auto" w:fill="auto"/>
            <w:noWrap/>
            <w:vAlign w:val="center"/>
          </w:tcPr>
          <w:p w14:paraId="50F08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教学仪器设备累计赔偿限额</w:t>
            </w:r>
          </w:p>
        </w:tc>
        <w:tc>
          <w:tcPr>
            <w:tcW w:w="2156" w:type="pct"/>
            <w:tcBorders>
              <w:top w:val="nil"/>
              <w:left w:val="nil"/>
              <w:bottom w:val="single" w:color="000000" w:sz="8" w:space="0"/>
              <w:right w:val="single" w:color="000000" w:sz="8" w:space="0"/>
            </w:tcBorders>
            <w:shd w:val="clear" w:color="auto" w:fill="auto"/>
            <w:noWrap/>
            <w:vAlign w:val="center"/>
          </w:tcPr>
          <w:p w14:paraId="56CFA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w:t>
            </w:r>
          </w:p>
        </w:tc>
      </w:tr>
      <w:tr w14:paraId="3FEC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2843" w:type="pct"/>
            <w:tcBorders>
              <w:top w:val="nil"/>
              <w:left w:val="nil"/>
              <w:bottom w:val="single" w:color="000000" w:sz="8" w:space="0"/>
              <w:right w:val="single" w:color="000000" w:sz="8" w:space="0"/>
            </w:tcBorders>
            <w:shd w:val="clear" w:color="auto" w:fill="auto"/>
            <w:noWrap/>
            <w:vAlign w:val="center"/>
          </w:tcPr>
          <w:p w14:paraId="5D964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每次事故赔偿限额</w:t>
            </w:r>
          </w:p>
        </w:tc>
        <w:tc>
          <w:tcPr>
            <w:tcW w:w="2156" w:type="pct"/>
            <w:tcBorders>
              <w:top w:val="nil"/>
              <w:left w:val="nil"/>
              <w:bottom w:val="single" w:color="000000" w:sz="8" w:space="0"/>
              <w:right w:val="single" w:color="000000" w:sz="8" w:space="0"/>
            </w:tcBorders>
            <w:shd w:val="clear" w:color="auto" w:fill="auto"/>
            <w:noWrap/>
            <w:vAlign w:val="center"/>
          </w:tcPr>
          <w:p w14:paraId="59803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1万</w:t>
            </w:r>
          </w:p>
        </w:tc>
      </w:tr>
      <w:tr w14:paraId="002B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1" w:hRule="atLeast"/>
        </w:trPr>
        <w:tc>
          <w:tcPr>
            <w:tcW w:w="2843" w:type="pct"/>
            <w:tcBorders>
              <w:top w:val="nil"/>
              <w:left w:val="nil"/>
              <w:bottom w:val="single" w:color="000000" w:sz="8" w:space="0"/>
              <w:right w:val="single" w:color="000000" w:sz="8" w:space="0"/>
            </w:tcBorders>
            <w:shd w:val="clear" w:color="auto" w:fill="auto"/>
            <w:noWrap/>
            <w:vAlign w:val="center"/>
          </w:tcPr>
          <w:p w14:paraId="4EAF2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每次事故免赔额</w:t>
            </w:r>
          </w:p>
        </w:tc>
        <w:tc>
          <w:tcPr>
            <w:tcW w:w="2156" w:type="pct"/>
            <w:tcBorders>
              <w:top w:val="nil"/>
              <w:left w:val="nil"/>
              <w:bottom w:val="single" w:color="000000" w:sz="8" w:space="0"/>
              <w:right w:val="single" w:color="000000" w:sz="8" w:space="0"/>
            </w:tcBorders>
            <w:shd w:val="clear" w:color="auto" w:fill="auto"/>
            <w:vAlign w:val="center"/>
          </w:tcPr>
          <w:p w14:paraId="2AE0C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不低于200元或损失金额的10%，两者以高者为准。</w:t>
            </w:r>
          </w:p>
        </w:tc>
      </w:tr>
    </w:tbl>
    <w:p w14:paraId="1AE28B6A">
      <w:pPr>
        <w:pStyle w:val="7"/>
        <w:keepNext w:val="0"/>
        <w:keepLines w:val="0"/>
        <w:widowControl/>
        <w:numPr>
          <w:ilvl w:val="0"/>
          <w:numId w:val="0"/>
        </w:numPr>
        <w:suppressLineNumbers w:val="0"/>
        <w:spacing w:before="0" w:beforeAutospacing="0" w:after="0" w:afterAutospacing="0"/>
        <w:ind w:right="0" w:rightChars="0"/>
        <w:rPr>
          <w:rFonts w:hint="eastAsia" w:ascii="Segoe UI" w:hAnsi="Segoe UI" w:eastAsia="Segoe UI" w:cs="Segoe UI"/>
          <w:i w:val="0"/>
          <w:caps w:val="0"/>
          <w:color w:val="0F1115"/>
          <w:spacing w:val="0"/>
          <w:kern w:val="2"/>
          <w:sz w:val="24"/>
          <w:szCs w:val="24"/>
          <w:highlight w:val="yellow"/>
          <w:shd w:val="clear" w:fill="FFFFFF"/>
          <w:lang w:val="en-US" w:eastAsia="zh-CN" w:bidi="ar-SA"/>
        </w:rPr>
      </w:pPr>
    </w:p>
    <w:p w14:paraId="2FF91BD9"/>
    <w:sectPr>
      <w:pgSz w:w="16838" w:h="11906" w:orient="landscape"/>
      <w:pgMar w:top="850" w:right="1440" w:bottom="85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egoe UI">
    <w:altName w:val="苹方-简"/>
    <w:panose1 w:val="020B0502040204020203"/>
    <w:charset w:val="00"/>
    <w:family w:val="auto"/>
    <w:pitch w:val="default"/>
    <w:sig w:usb0="00000000" w:usb1="00000000" w:usb2="00000009" w:usb3="00000000" w:csb0="200001F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F4D18"/>
    <w:multiLevelType w:val="singleLevel"/>
    <w:tmpl w:val="B6FF4D18"/>
    <w:lvl w:ilvl="0" w:tentative="0">
      <w:start w:val="1"/>
      <w:numFmt w:val="decimal"/>
      <w:suff w:val="space"/>
      <w:lvlText w:val="%1."/>
      <w:lvlJc w:val="left"/>
    </w:lvl>
  </w:abstractNum>
  <w:abstractNum w:abstractNumId="1">
    <w:nsid w:val="DB9D551F"/>
    <w:multiLevelType w:val="singleLevel"/>
    <w:tmpl w:val="DB9D551F"/>
    <w:lvl w:ilvl="0" w:tentative="0">
      <w:start w:val="4"/>
      <w:numFmt w:val="decimal"/>
      <w:suff w:val="nothing"/>
      <w:lvlText w:val="（%1）"/>
      <w:lvlJc w:val="left"/>
    </w:lvl>
  </w:abstractNum>
  <w:abstractNum w:abstractNumId="2">
    <w:nsid w:val="0FAE236A"/>
    <w:multiLevelType w:val="singleLevel"/>
    <w:tmpl w:val="0FAE236A"/>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A0B6B"/>
    <w:rsid w:val="4B047150"/>
    <w:rsid w:val="6AF65467"/>
    <w:rsid w:val="6BFF76CB"/>
    <w:rsid w:val="6FFE57D1"/>
    <w:rsid w:val="73CA0B6B"/>
    <w:rsid w:val="BB3FD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font11"/>
    <w:basedOn w:val="10"/>
    <w:qFormat/>
    <w:uiPriority w:val="0"/>
    <w:rPr>
      <w:rFonts w:ascii="Calibri" w:hAnsi="Calibri" w:cs="Calibri"/>
      <w:b/>
      <w:color w:val="000000"/>
      <w:sz w:val="21"/>
      <w:szCs w:val="21"/>
      <w:u w:val="none"/>
    </w:rPr>
  </w:style>
  <w:style w:type="character" w:customStyle="1" w:styleId="14">
    <w:name w:val="font31"/>
    <w:basedOn w:val="10"/>
    <w:qFormat/>
    <w:uiPriority w:val="0"/>
    <w:rPr>
      <w:rFonts w:hint="eastAsia" w:ascii="宋体" w:hAnsi="宋体" w:eastAsia="宋体" w:cs="宋体"/>
      <w:b/>
      <w:color w:val="000000"/>
      <w:sz w:val="21"/>
      <w:szCs w:val="21"/>
      <w:u w:val="none"/>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21"/>
    <w:basedOn w:val="10"/>
    <w:qFormat/>
    <w:uiPriority w:val="0"/>
    <w:rPr>
      <w:rFonts w:hint="eastAsia" w:ascii="宋体" w:hAnsi="宋体" w:eastAsia="宋体" w:cs="宋体"/>
      <w:color w:val="000000"/>
      <w:sz w:val="24"/>
      <w:szCs w:val="24"/>
      <w:u w:val="none"/>
    </w:rPr>
  </w:style>
  <w:style w:type="character" w:customStyle="1" w:styleId="17">
    <w:name w:val="font41"/>
    <w:basedOn w:val="10"/>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2078</Words>
  <Characters>2163</Characters>
  <Lines>0</Lines>
  <Paragraphs>0</Paragraphs>
  <TotalTime>41</TotalTime>
  <ScaleCrop>false</ScaleCrop>
  <LinksUpToDate>false</LinksUpToDate>
  <CharactersWithSpaces>2166</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2025-09-09T14:40:00Z</dcterms:created>
  <dc:creator>wwwwww</dc:creator>
  <cp:lastModifiedBy>李佳</cp:lastModifiedBy>
  <dcterms:modified xsi:type="dcterms:W3CDTF">2025-09-10T09:26:31Z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67DC272C92E50678C7D3C068A6B4E838_43</vt:lpwstr>
  </property>
  <property fmtid="{D5CDD505-2E9C-101B-9397-08002B2CF9AE}" pid="4" name="KSOTemplateDocerSaveRecord">
    <vt:lpwstr>eyJoZGlkIjoiMDFhNGQyNTJjYjQ2YTVmMzU3NzY0OGQzMGI3NWRmYzMiLCJ1c2VySWQiOiIxMTQ0OTI1ODAwIn0=</vt:lpwstr>
  </property>
</Properties>
</file>