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797"/>
        <w:gridCol w:w="1698"/>
        <w:gridCol w:w="6542"/>
      </w:tblGrid>
      <w:tr w14:paraId="4231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8" w:type="dxa"/>
            <w:vMerge w:val="restart"/>
            <w:vAlign w:val="center"/>
          </w:tcPr>
          <w:p w14:paraId="4B55457D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vMerge w:val="restart"/>
            <w:vAlign w:val="center"/>
          </w:tcPr>
          <w:p w14:paraId="0FA529E7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 w14:paraId="0FAF3E68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报价评分F1（满分</w:t>
            </w:r>
            <w:r>
              <w:rPr>
                <w:rFonts w:hint="eastAsia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542" w:type="dxa"/>
            <w:vAlign w:val="center"/>
          </w:tcPr>
          <w:p w14:paraId="18125E96">
            <w:pPr>
              <w:spacing w:line="360" w:lineRule="auto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报价评分采用低价优先法计算，即满足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比选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文件要求且最终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比选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报价最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的供应商的报价为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比选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基准价，其报价分为满分。其他供应商的报价分统一按照下列公式计算：</w:t>
            </w:r>
          </w:p>
          <w:p w14:paraId="2B5ED4D0">
            <w:pPr>
              <w:spacing w:line="360" w:lineRule="auto"/>
              <w:jc w:val="left"/>
              <w:rPr>
                <w:rFonts w:hint="default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比选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得分=（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比选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基准价/最终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比选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报价）×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 w14:paraId="2A7AE453">
            <w:pPr>
              <w:spacing w:line="360" w:lineRule="auto"/>
              <w:jc w:val="left"/>
              <w:rPr>
                <w:rFonts w:hint="default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即：F1=</w:t>
            </w: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C/（B1，B2，…，Bn）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 w14:paraId="4D13B3BA">
            <w:pPr>
              <w:spacing w:line="360" w:lineRule="auto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注：1）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C为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比选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基准价，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即满足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比选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文件要求且最终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比选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报价最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的供应商的价格为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比选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基准价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9CCD68B">
            <w:pPr>
              <w:spacing w:line="360" w:lineRule="auto"/>
              <w:ind w:firstLine="420" w:firstLineChars="200"/>
              <w:rPr>
                <w:rFonts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B1，B2，…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Bn为第n个经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实质性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审查合格的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最终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比选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5A92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8" w:type="dxa"/>
            <w:vMerge w:val="continue"/>
            <w:vAlign w:val="center"/>
          </w:tcPr>
          <w:p w14:paraId="0D64C14F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vMerge w:val="continue"/>
            <w:vAlign w:val="center"/>
          </w:tcPr>
          <w:p w14:paraId="4EAE480A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16704EFA">
            <w:pPr>
              <w:spacing w:line="360" w:lineRule="auto"/>
              <w:jc w:val="center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技术部分评分F2（满分</w:t>
            </w:r>
            <w:r>
              <w:rPr>
                <w:rFonts w:hint="eastAsia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542" w:type="dxa"/>
            <w:vAlign w:val="center"/>
          </w:tcPr>
          <w:p w14:paraId="271214D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1）参数评审评分（满分</w:t>
            </w:r>
            <w:r>
              <w:rPr>
                <w:rFonts w:hint="eastAsia" w:hAnsi="宋体" w:cs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93EDDD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满足参数要求得20分，否则得0分</w:t>
            </w:r>
          </w:p>
        </w:tc>
      </w:tr>
      <w:tr w14:paraId="5E83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vMerge w:val="continue"/>
            <w:vAlign w:val="center"/>
          </w:tcPr>
          <w:p w14:paraId="53C71169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vMerge w:val="continue"/>
            <w:vAlign w:val="center"/>
          </w:tcPr>
          <w:p w14:paraId="5470F63F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54290C26">
            <w:pPr>
              <w:spacing w:line="360" w:lineRule="auto"/>
              <w:jc w:val="center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2" w:type="dxa"/>
            <w:vAlign w:val="center"/>
          </w:tcPr>
          <w:p w14:paraId="49F243AE">
            <w:pPr>
              <w:spacing w:line="360" w:lineRule="auto"/>
              <w:rPr>
                <w:rFonts w:hAnsi="宋体" w:cs="宋体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 w:cs="宋体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）服务方案</w:t>
            </w:r>
            <w:r>
              <w:rPr>
                <w:rFonts w:hint="eastAsia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评审评分</w:t>
            </w:r>
            <w:r>
              <w:rPr>
                <w:rFonts w:hint="eastAsia" w:hAnsi="宋体" w:cs="宋体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（满分</w:t>
            </w:r>
            <w:r>
              <w:rPr>
                <w:rFonts w:hint="eastAsia" w:hAnsi="宋体" w:cs="宋体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hAnsi="宋体" w:cs="宋体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84A6EDF">
            <w:pPr>
              <w:spacing w:line="360" w:lineRule="auto"/>
              <w:rPr>
                <w:rFonts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第一个档次（</w:t>
            </w:r>
            <w:r>
              <w:rPr>
                <w:rFonts w:hint="eastAsia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</w:t>
            </w:r>
            <w:r>
              <w:rPr>
                <w:rFonts w:hint="eastAsia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音响</w:t>
            </w: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搭建服务方案详细、合理、可行性强，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服务目标、服务计划、服务组织措施、技术保障措施等针对性强、可行性强，能全面考虑和完全满足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588B7FA">
            <w:pPr>
              <w:spacing w:line="360" w:lineRule="auto"/>
              <w:rPr>
                <w:rFonts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第二个档次（</w:t>
            </w:r>
            <w:r>
              <w:rPr>
                <w:rFonts w:hint="eastAsia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</w:t>
            </w:r>
            <w:r>
              <w:rPr>
                <w:rFonts w:hint="eastAsia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音响</w:t>
            </w: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搭建服务方案合理、有一定的可行性，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服务目标、服务计划、服务组织措施、技术保障措施可行性尚可，能考虑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，基本满足采购人采购要求；</w:t>
            </w:r>
          </w:p>
          <w:p w14:paraId="58ADB22B">
            <w:pPr>
              <w:spacing w:line="360" w:lineRule="auto"/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第三个档次（</w:t>
            </w:r>
            <w:r>
              <w:rPr>
                <w:rFonts w:hint="eastAsia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</w:t>
            </w:r>
            <w:r>
              <w:rPr>
                <w:rFonts w:hint="eastAsia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音响</w:t>
            </w: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搭建服务方案可行性一般，内容存在缺漏，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服务目标、服务计划、服务组织措施、技术保障措施等针对性一般</w:t>
            </w: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无法满足采购人采购要求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98FA8BA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第四个档次（0分）：无服务方案</w:t>
            </w:r>
            <w:bookmarkStart w:id="0" w:name="_GoBack"/>
            <w:bookmarkEnd w:id="0"/>
          </w:p>
        </w:tc>
      </w:tr>
      <w:tr w14:paraId="23BA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58" w:type="dxa"/>
            <w:vMerge w:val="continue"/>
            <w:vAlign w:val="center"/>
          </w:tcPr>
          <w:p w14:paraId="1F85FA82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vMerge w:val="continue"/>
            <w:vAlign w:val="center"/>
          </w:tcPr>
          <w:p w14:paraId="5C8BD4D7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20F2B2AD">
            <w:pPr>
              <w:spacing w:line="360" w:lineRule="auto"/>
              <w:jc w:val="center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2" w:type="dxa"/>
            <w:vAlign w:val="center"/>
          </w:tcPr>
          <w:p w14:paraId="2DD6135A">
            <w:pPr>
              <w:widowControl/>
              <w:spacing w:line="360" w:lineRule="auto"/>
              <w:jc w:val="left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）项目重点、难点分析及合理化建议、意见评审评分（满分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9694C10">
            <w:pPr>
              <w:spacing w:line="360" w:lineRule="auto"/>
              <w:rPr>
                <w:rFonts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第一个档次（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分）：供应商响应文件中提供的项目重点、难点内容分析详细、透彻，完全符合项目现状实际情况；提出的合理化建议及意见切合学校实际情况，能帮助采购人实现项目目标的。</w:t>
            </w:r>
          </w:p>
          <w:p w14:paraId="48AE31F0">
            <w:pPr>
              <w:spacing w:line="360" w:lineRule="auto"/>
              <w:rPr>
                <w:rFonts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第二个档次（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分）：供应商响应文件中提供的项目重点、难点内容分析基本详细、透彻，符合项目现状实际情况；提出的合理化建议及意见基本符合学校实际情况，能帮助采购人实现项目部分目标的；</w:t>
            </w:r>
          </w:p>
          <w:p w14:paraId="46D2DFE0">
            <w:pPr>
              <w:spacing w:line="360" w:lineRule="auto"/>
              <w:rPr>
                <w:rFonts w:hAnsi="宋体" w:cs="宋体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第三个档次（1-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分）：供应商响应文件中提供的项目重点、难点内容分析粗漏，与项目现状不符；未提供合理化意见与建议的。</w:t>
            </w:r>
          </w:p>
        </w:tc>
      </w:tr>
      <w:tr w14:paraId="29DE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58" w:type="dxa"/>
            <w:vMerge w:val="continue"/>
            <w:vAlign w:val="center"/>
          </w:tcPr>
          <w:p w14:paraId="277E1F00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vMerge w:val="continue"/>
            <w:vAlign w:val="center"/>
          </w:tcPr>
          <w:p w14:paraId="7CFD553D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458BA05F">
            <w:pPr>
              <w:spacing w:line="360" w:lineRule="auto"/>
              <w:jc w:val="center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2" w:type="dxa"/>
            <w:vAlign w:val="center"/>
          </w:tcPr>
          <w:p w14:paraId="1B272421">
            <w:pPr>
              <w:widowControl/>
              <w:spacing w:line="360" w:lineRule="auto"/>
              <w:jc w:val="left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spacing w:val="0"/>
                <w:sz w:val="2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 w:themeColor="text1"/>
                <w:spacing w:val="0"/>
                <w:sz w:val="2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 w:themeColor="text1"/>
                <w:spacing w:val="0"/>
                <w:sz w:val="2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安全管理措施评审评分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 w:themeColor="text1"/>
                <w:spacing w:val="0"/>
                <w:sz w:val="2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满分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2F06E6E">
            <w:pPr>
              <w:spacing w:line="360" w:lineRule="auto"/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第一个档次（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分）：供应商响应文件中提供的作业场所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安全保障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措施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内容分析详细、透彻，安全管理措施完整、科学合理、可行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完全符合项目现状实际情况；</w:t>
            </w:r>
          </w:p>
          <w:p w14:paraId="052BA440">
            <w:pPr>
              <w:spacing w:line="360" w:lineRule="auto"/>
              <w:rPr>
                <w:rFonts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第二个档次（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分）：供应商响应文件中提供的作业场所、安全保障措施内容分析基本详细、透彻，安全管理措施内容一般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符合项目现状实际情况；</w:t>
            </w:r>
          </w:p>
          <w:p w14:paraId="6CD4B924">
            <w:pPr>
              <w:spacing w:line="360" w:lineRule="auto"/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第三个档次（1-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分）：供应商响应文件中提供的作业场所、安全保障措施内容分析粗漏，与项目现状不符。</w:t>
            </w:r>
          </w:p>
        </w:tc>
      </w:tr>
      <w:tr w14:paraId="6F06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58" w:type="dxa"/>
            <w:vMerge w:val="continue"/>
            <w:vAlign w:val="center"/>
          </w:tcPr>
          <w:p w14:paraId="7C2AA7D7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vMerge w:val="continue"/>
            <w:vAlign w:val="center"/>
          </w:tcPr>
          <w:p w14:paraId="4A21022C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784E3F4E">
            <w:pPr>
              <w:spacing w:line="360" w:lineRule="auto"/>
              <w:jc w:val="center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2" w:type="dxa"/>
            <w:vAlign w:val="center"/>
          </w:tcPr>
          <w:p w14:paraId="4174F0C3">
            <w:pPr>
              <w:widowControl/>
              <w:spacing w:line="360" w:lineRule="auto"/>
              <w:jc w:val="left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）项目团队配备</w:t>
            </w:r>
            <w:r>
              <w:rPr>
                <w:rFonts w:hint="eastAsia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评审评分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（满分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D459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：响应文件中需提供《项目负责人信息表》、《项目团队人员信息表》及相关人员资料，人员的证明资料包括身份证、学历证书（若有）、职称证（若有）、劳动合同或社保证明、相关荣誉证明材料（如有）、承担过类似项目证明材料（如有）。上述人员资料均须提供复印件/扫描件，无人员或项目人员资料不明确、无法体现对应内容的，不予认可。</w:t>
            </w:r>
          </w:p>
          <w:p w14:paraId="2EF4A9E5">
            <w:pPr>
              <w:spacing w:line="360" w:lineRule="auto"/>
              <w:rPr>
                <w:rFonts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第一个档次（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8-10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分）：根据本项目服务需求内容拟派的项目团队人员，设置合理、业务熟练、专业，经验丰富，可满足采购人服务要求的；</w:t>
            </w:r>
          </w:p>
          <w:p w14:paraId="3A2B3FEC">
            <w:pPr>
              <w:spacing w:line="360" w:lineRule="auto"/>
              <w:rPr>
                <w:rFonts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第二个档次（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分）：根据本项目服务需求内容拟派的项目团队人员设置基本合理、业务生疏，部分无法能满足采购人需求；</w:t>
            </w:r>
          </w:p>
          <w:p w14:paraId="0AAAE68C"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第三个档次（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分）：根据本项目服务需求内容拟派的项目团队人员设置不合理、业务较生疏，不能满足采购人需求。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9EE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8" w:type="dxa"/>
            <w:vMerge w:val="continue"/>
            <w:vAlign w:val="center"/>
          </w:tcPr>
          <w:p w14:paraId="73DF080E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vMerge w:val="continue"/>
            <w:vAlign w:val="center"/>
          </w:tcPr>
          <w:p w14:paraId="7A01CC45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17D45246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商务部分评分F3（满分</w:t>
            </w:r>
            <w:r>
              <w:rPr>
                <w:rFonts w:hint="eastAsia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542" w:type="dxa"/>
            <w:vAlign w:val="center"/>
          </w:tcPr>
          <w:p w14:paraId="79FD30BA">
            <w:pPr>
              <w:spacing w:line="360" w:lineRule="auto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）服务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承诺及保证措施评审评分（满分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DF0E2F2">
            <w:pPr>
              <w:spacing w:line="360" w:lineRule="auto"/>
              <w:rPr>
                <w:rFonts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第一个档次（</w:t>
            </w:r>
            <w:r>
              <w:rPr>
                <w:rFonts w:hint="eastAsia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分）：服务承诺内容完整、详细，承诺响应及时、措施完善、针对性强，针对项目履约过程各工作环节违约的情况有具体、可行的惩罚措施，完全满足采购人实际需求；</w:t>
            </w:r>
          </w:p>
          <w:p w14:paraId="535F7B92">
            <w:pPr>
              <w:spacing w:line="360" w:lineRule="auto"/>
              <w:rPr>
                <w:rFonts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第二个档次（</w:t>
            </w:r>
            <w:r>
              <w:rPr>
                <w:rFonts w:hint="eastAsia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分）：服务承诺基本详细，服务承诺内容基本完整，承诺响应较慢、措施完善缺乏、针对性一般，针对项目履约过程各工作环节违约的情况有惩罚措施，基本满足采购人实际需求；</w:t>
            </w:r>
          </w:p>
          <w:p w14:paraId="2032C02F">
            <w:pPr>
              <w:pStyle w:val="3"/>
              <w:shd w:val="clear" w:color="auto" w:fill="auto"/>
              <w:spacing w:line="360" w:lineRule="auto"/>
              <w:rPr>
                <w:rFonts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第三个档次（1-</w:t>
            </w:r>
            <w:r>
              <w:rPr>
                <w:rFonts w:hint="eastAsia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分）：服务承诺粗糙，无可行性，服务承诺内容空洞，承诺响应慢、措施缺乏、不具有针对性，无各工作环节违约的情况提出惩罚措施，无法满足采购人需求。</w:t>
            </w:r>
          </w:p>
        </w:tc>
      </w:tr>
      <w:tr w14:paraId="7E58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658" w:type="dxa"/>
            <w:vMerge w:val="continue"/>
            <w:vAlign w:val="center"/>
          </w:tcPr>
          <w:p w14:paraId="0979734B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vMerge w:val="continue"/>
            <w:vAlign w:val="center"/>
          </w:tcPr>
          <w:p w14:paraId="76A19A75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124E31F1">
            <w:pPr>
              <w:spacing w:line="360" w:lineRule="auto"/>
              <w:rPr>
                <w:rFonts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2" w:type="dxa"/>
            <w:vAlign w:val="center"/>
          </w:tcPr>
          <w:p w14:paraId="79D373E5">
            <w:pPr>
              <w:spacing w:line="360" w:lineRule="auto"/>
              <w:rPr>
                <w:rFonts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hint="eastAsia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供应商类似业绩评审评分（满分</w:t>
            </w:r>
            <w:r>
              <w:rPr>
                <w:rFonts w:hint="eastAsia" w:hAnsi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FD0F03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根据供应商202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年至本项目响应文件提交截止时间前每承担过1个类似项目服务业绩得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分，加满为止。</w:t>
            </w:r>
          </w:p>
          <w:p w14:paraId="62E1A148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：供应商须提供类似业绩的合同或中标（成交）通知书复印件等证明材料，复印件加盖公章，无证明材料或未按要求提供证明材料或证明材料无法体现内容的，不予认可。日期以合同签订日期或中标（成交）通知书日期为准。</w:t>
            </w:r>
          </w:p>
        </w:tc>
      </w:tr>
    </w:tbl>
    <w:p w14:paraId="4C92EC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jU4Njg3M2NiNTc2MjA1YzAxNGEwOWQzZmZhMzMifQ=="/>
    <w:docVar w:name="KSO_WPS_MARK_KEY" w:val="16f00b52-2767-4d2c-9bb5-9f260ce9613d"/>
  </w:docVars>
  <w:rsids>
    <w:rsidRoot w:val="70251E6F"/>
    <w:rsid w:val="53180DB2"/>
    <w:rsid w:val="5A36150F"/>
    <w:rsid w:val="5CC806D4"/>
    <w:rsid w:val="5E6C3504"/>
    <w:rsid w:val="7025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napToGrid w:val="0"/>
      <w:kern w:val="21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hint="eastAsia" w:ascii="黑体" w:hAnsi="宋体" w:eastAsia="黑体"/>
      <w:bCs/>
      <w:kern w:val="2"/>
      <w:sz w:val="32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1790</Words>
  <Characters>1843</Characters>
  <Lines>0</Lines>
  <Paragraphs>0</Paragraphs>
  <TotalTime>16</TotalTime>
  <ScaleCrop>false</ScaleCrop>
  <LinksUpToDate>false</LinksUpToDate>
  <CharactersWithSpaces>1845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2024-08-23T12:50:00Z</dcterms:created>
  <dc:creator>酷玩小子</dc:creator>
  <cp:lastModifiedBy>woodyjeep</cp:lastModifiedBy>
  <dcterms:modified xsi:type="dcterms:W3CDTF">2025-05-13T09:37:05Z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66C10E2A0634498C9F6729EA190729B4_13</vt:lpwstr>
  </property>
  <property fmtid="{D5CDD505-2E9C-101B-9397-08002B2CF9AE}" pid="4" name="KSOTemplateDocerSaveRecord">
    <vt:lpwstr>eyJoZGlkIjoiMGFhNjM3OTZkN2NkMWMwN2MwMDc3MDZhNGNmZmRmNGYiLCJ1c2VySWQiOiI1NDYzMDkyOTUifQ==</vt:lpwstr>
  </property>
</Properties>
</file>